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86R22172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Oliverson, Goldman, Phelan, et al.</w:t>
      </w:r>
      <w:r xml:space="preserve">
        <w:tab wTab="150" tlc="none" cTlc="0"/>
      </w:r>
      <w:r>
        <w:t xml:space="preserve">H.B.</w:t>
      </w:r>
      <w:r xml:space="preserve">
        <w:t> </w:t>
      </w:r>
      <w:r>
        <w:t xml:space="preserve">No.</w:t>
      </w:r>
      <w:r xml:space="preserve">
        <w:t> </w:t>
      </w:r>
      <w:r>
        <w:t xml:space="preserve">2100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2100:</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2100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freedom of expression is of critical importance and requires each public institution of higher education to ensure free, robust, and uninhibited debate and deliberations by students enrolled at the institution, regardless of whether the students are on or off campus; and</w:t>
      </w:r>
    </w:p>
    <w:p w:rsidR="003F3435" w:rsidRDefault="0032493E">
      <w:pPr>
        <w:spacing w:line="480" w:lineRule="auto"/>
        <w:ind w:firstLine="1440"/>
        <w:jc w:val="both"/>
      </w:pPr>
      <w:r>
        <w:t xml:space="preserve">(2)</w:t>
      </w:r>
      <w:r xml:space="preserve">
        <w:t> </w:t>
      </w:r>
      <w:r xml:space="preserve">
        <w:t> </w:t>
      </w:r>
      <w:r>
        <w:t xml:space="preserve">it is a matter of statewide concern that all public institutions of higher education officially recognize freedom of speech as a fundamental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has the meaning assigned by Section 51.934.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Section 8, Article I, Texas Constitution, and includes assemblies, protests, speeches, the distribution of written or visual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"Matter of public concern" includes matters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or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environmental, economic, or community well-being;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state, or federal government;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official or figure;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good or service;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public policy or controversy.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and the purpose of this section to protect the expressive rights of persons guaranteed by the constitutions of the United States and of this state by ensuring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lawfully present on the campus of an institution of higher education may engage in expressive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expressive rights of persons lawfully present on the campus of an institution of higher education are not unnecessarily restricted or impeded by rules or policies adopted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lawfully present to engage in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 disrupt the functioning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by rule may maintain and enforce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necessary to further a compelling institutional interest and are the least restrictive means of furthering that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leave open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students enrolled at and employees of the institution to spontaneously and contemporaneously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 limit the right of student expression at other campus locations.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protections under this section apply equally to students and to student groups and organizations, regardless of whether the group or organization is recognized by or registered with the institution of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institution of higher education shall adopt a policy detailing students' and employees'</w:t>
      </w:r>
      <w:r>
        <w:rPr>
          <w:u w:val="single"/>
        </w:rPr>
        <w:t xml:space="preserve"> </w:t>
      </w:r>
      <w:r>
        <w:rPr>
          <w:u w:val="single"/>
        </w:rPr>
        <w:t xml:space="preserve">rights and responsibilities regarding expressive activities at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to, subject to Subsection (c)(2) and reasonable restrictions adopted under Subsection (d), engage in expressive activities on campus, including by responding to the expressive activities of others;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student groups and organizations, and employees to, subject to Subsection (h), invite speakers to speak on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disciplinary sanctions for students or student groups or organizations who unduly interfere with the expressive activities of others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free and open exchange of ideas, including unpopular, controversial, or offensive ideas, in classrooms and all other campus locations;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the institution or any employee of the institution from punishing a student or employee in any manner for engaging in expressive activities;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institution from taking official action on a matter of public concern in a manner that requires a student or employee to publicly express a particular viewpoint on that matter;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institution to strive to maintain an official position of neutrality on matters of public concern except as necessary for the institution's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institution to permit a student group or organization formed for the purpose of exercising expressive rights to establish and maintain membership and leadership qualifications for the group or organization that further the group's or organization's purpose, including by requiring the group's or organization's leaders or members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adhere to or comply with the group's or organization's sincerely held beliefs or sincere standards of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committed to furthering the group's or organization's mission or purpose;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statements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it is not the proper role of the institution to shield persons from expressive activities, including ideas or opinions that may be unpopular, controversial, or offensive;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(c)(2) and reasonable restrictions adopted under Subsection (d), students and employees are entitled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discuss any problem;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spontaneously and contemporaneously assemble or distribute written or visual material without a permit or other permission from the institution;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posted on the institution's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determining whether to approve a speaker to speak on campus or in determining the amount of a fee to be charged for use of the institution's facilities for purposes of engaging in expressive activities,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consider only content-neutral and viewpoint-neutral criteria related to the needs of the event,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venue and the expected size of the audience;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anticipated need for campus security;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necessary accommodations;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relevant history of compliance or noncompliance by the requesting student, student group or organization, or employee with the institution's policy adopted under Subsection (g) and any other relevant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anticipated attendance of persons not intending to participate in the event;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anticipated controversy related to the event.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of higher education shall make reasonable efforts to ensure the safety of speakers invited to speak on campus by a student enrolled at the institution, a student group or organization at the institution, or an employee of the institution.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the first anniversary of the date that a violation of this section is alleged to have occurred at an institution of higher education, the attorney general or a person whose expressive rights have been violated under this section may bring an action for injunctive relief to compel the institution to comply with this section or to recover compensatory damages, court costs, and reasonable attorney's fees.  In an action for damages brought under this subsection, if the court finds that an institution of higher education has violated this section, the court shall award the aggrieved person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person's compensatory damages;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computing the limitation period under Subsection (j), each day of a continuing violation of this section, including each day that a rule or policy of an institution of higher education that violates this section remains in effect, constitutes a separate violation.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addition to the cause of action under Subsection (j), a person whose expressive rights are affected by a rule or policy adopted by an institution of higher education may file suit against the institution for declaratory judgment in the manner provided by Chapter 37, Civil Practice and Remedies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policies in the institution's student handbook and personnel handbook;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copy of each policy to students during the institution's freshman or transfer student orientation;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the policies on the institution's Internet website.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December 1, 2020, each institution of higher education shall prepare, post on the institution's Internet website, and submit to the governor and the members of the legislature a report regarding the institution's implementation of the requirements under this section.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August 1, 2020, each public institution of higher education shall adopt the policy required under Section 51.9315(g),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