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state facilities, including institutions of higher education; creating a civil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a new Subchapter J to read as follows:</w:t>
      </w:r>
    </w:p>
    <w:p w:rsidR="003F3435" w:rsidRDefault="0032493E">
      <w:pPr>
        <w:spacing w:line="480" w:lineRule="auto"/>
        <w:ind w:firstLine="720"/>
        <w:jc w:val="both"/>
      </w:pPr>
      <w:r>
        <w:rPr>
          <w:u w:val="single"/>
        </w:rPr>
        <w:t xml:space="preserve">SUBCHAPTER J. PROTECTION OF EXPRESSION</w:t>
      </w:r>
    </w:p>
    <w:p w:rsidR="003F3435" w:rsidRDefault="0032493E">
      <w:pPr>
        <w:spacing w:line="480" w:lineRule="auto"/>
        <w:ind w:firstLine="720"/>
        <w:jc w:val="both"/>
      </w:pPr>
      <w:r>
        <w:rPr>
          <w:u w:val="single"/>
        </w:rPr>
        <w:t xml:space="preserve">2165.450. APPLICABILITY. </w:t>
      </w:r>
      <w:r>
        <w:rPr>
          <w:u w:val="single"/>
        </w:rPr>
        <w:t xml:space="preserve"> </w:t>
      </w:r>
      <w:r>
        <w:rPr>
          <w:u w:val="single"/>
        </w:rPr>
        <w:t xml:space="preserve">The exceptions provided by Section 2165.002 do not apply to this section.</w:t>
      </w:r>
    </w:p>
    <w:p w:rsidR="003F3435" w:rsidRDefault="0032493E">
      <w:pPr>
        <w:spacing w:line="480" w:lineRule="auto"/>
        <w:ind w:firstLine="720"/>
        <w:jc w:val="both"/>
      </w:pPr>
      <w:r>
        <w:rPr>
          <w:u w:val="single"/>
        </w:rPr>
        <w:t xml:space="preserve">2165.451. DEFINITIONS.  In this section: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by Sections 6 and 8, Article I, Texas Constitution, and includes assemblies, protests, speeches, the distribution of written or visual material, the carrying of signs, and the circulation of petitions. The term does not include commercial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"Disruptive activity" has the meaning assigned by Section 51.935(b),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"Employee" means a person employed by a state agency or institution of higher education in an executive, professional, administrative, or clerical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"Matter of public concern" means an issue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or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environmental, economic, or community well-being;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 official or public figure;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good, product, or service in the marketplace;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public policy controversy.</w:t>
      </w:r>
    </w:p>
    <w:p w:rsidR="003F3435" w:rsidRDefault="0032493E">
      <w:pPr>
        <w:spacing w:line="480" w:lineRule="auto"/>
        <w:ind w:firstLine="720"/>
        <w:jc w:val="both"/>
      </w:pPr>
      <w:r>
        <w:rPr>
          <w:u w:val="single"/>
        </w:rPr>
        <w:t xml:space="preserve">2165.452. AFFIRMATIVE RESPONSIBILITIES OF COMMISSION, AGENCY, or INSTITUTION. </w:t>
      </w:r>
      <w:r>
        <w:rPr>
          <w:u w:val="single"/>
        </w:rPr>
        <w:t xml:space="preserve"> </w:t>
      </w:r>
      <w:r>
        <w:rPr>
          <w:u w:val="single"/>
        </w:rPr>
        <w:t xml:space="preserve">The commission, a state agency, or an institution of higher education shall: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ensure that the common outdoor areas of the buildings, grounds, or property under the control of the commission, state agency, or institution of higher education are deemed traditional public forums;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permit any person lawfully present to engage in expressive activities in those areas freely, as long as the person's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unlawful;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disruptive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materially and substantially disrupt the functioning of the commission, agency, or institution.</w:t>
      </w:r>
    </w:p>
    <w:p w:rsidR="003F3435" w:rsidRDefault="0032493E">
      <w:pPr>
        <w:spacing w:line="480" w:lineRule="auto"/>
        <w:ind w:firstLine="720"/>
        <w:jc w:val="both"/>
      </w:pPr>
      <w:r>
        <w:rPr>
          <w:u w:val="single"/>
        </w:rPr>
        <w:t xml:space="preserve">2165.453. REASONABLE RESTRICTIONS.  Notwithstanding Section 2165.452, the commission, a state agency, or an institution of higher education by rule may maintain and enforce reasonable restrictions on the time, place, and manner of expressive activities in the common outdoor areas of any public buildings, grounds, or property under the control of the commission, state agency, or institution of higher education, if those restrictions: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are necessary to serve a compelling state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are the least restrictive means to further that compelling state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leave ample alternative means of expression; 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allow members of the public to spontaneously and contemporaneously assemble or distribute written material without a permit or other permission from the commission, state agency, or institution of higher education.</w:t>
      </w:r>
    </w:p>
    <w:p w:rsidR="003F3435" w:rsidRDefault="0032493E">
      <w:pPr>
        <w:spacing w:line="480" w:lineRule="auto"/>
        <w:ind w:firstLine="720"/>
        <w:jc w:val="both"/>
      </w:pPr>
      <w:r>
        <w:rPr>
          <w:u w:val="single"/>
        </w:rPr>
        <w:t xml:space="preserve">2165.453. NON LIMITATION.  Sections 2165.452 and 2165.453 do not limit the right of expression at any other location on the public buildings, grounds, or property.</w:t>
      </w:r>
    </w:p>
    <w:p w:rsidR="003F3435" w:rsidRDefault="0032493E">
      <w:pPr>
        <w:spacing w:line="480" w:lineRule="auto"/>
        <w:ind w:firstLine="720"/>
        <w:jc w:val="both"/>
      </w:pPr>
      <w:r>
        <w:rPr>
          <w:u w:val="single"/>
        </w:rPr>
        <w:t xml:space="preserve">2165.454. EQUAL APPLICATION.  The protections under this subchapter apply equally to all persons, regardless of whether the person is recognized by or registered with the commission, state agency, or institution of higher education.</w:t>
      </w:r>
    </w:p>
    <w:p w:rsidR="003F3435" w:rsidRDefault="0032493E">
      <w:pPr>
        <w:spacing w:line="480" w:lineRule="auto"/>
        <w:ind w:firstLine="720"/>
        <w:jc w:val="both"/>
      </w:pPr>
      <w:r>
        <w:rPr>
          <w:u w:val="single"/>
        </w:rPr>
        <w:t xml:space="preserve">2165.455. POLICIES.  (a) </w:t>
      </w:r>
      <w:r>
        <w:rPr>
          <w:u w:val="single"/>
        </w:rPr>
        <w:t xml:space="preserve"> </w:t>
      </w:r>
      <w:r>
        <w:rPr>
          <w:u w:val="single"/>
        </w:rPr>
        <w:t xml:space="preserve">The commission, each state agency, and each institution of higher education shall adopt a policy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agency, or institution, or any employee of such commission, agency, or institution, from punishing a person in any manner for engaging in expressive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agency, or institution from taking action on a matter of public concern in a way as to require employees or other persons under the jurisdiction of the commission, agency, or institution of higher education to publicly express a given view of a matter of public concern;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free and open exchange of ideas, including unpopular, controversial, or offensive ideas, on the public buildings, grounds, or property under the control of the commission, state agency, or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establishes disciplinary sanctions for employees of the commission, state agency, or institution of higher education for employees who unduly interfere with such expressive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state agency, or institution of higher education must make the policy adopted under this section available on the commission's, agency's, or institution's website.</w:t>
      </w:r>
    </w:p>
    <w:p w:rsidR="003F3435" w:rsidRDefault="0032493E">
      <w:pPr>
        <w:spacing w:line="480" w:lineRule="auto"/>
        <w:ind w:firstLine="720"/>
        <w:jc w:val="both"/>
      </w:pPr>
      <w:r>
        <w:rPr>
          <w:u w:val="single"/>
        </w:rPr>
        <w:t xml:space="preserve">2165.456. INJUNCTIVE RELIEF.  (a) </w:t>
      </w:r>
      <w:r>
        <w:rPr>
          <w:u w:val="single"/>
        </w:rPr>
        <w:t xml:space="preserve"> </w:t>
      </w:r>
      <w:r>
        <w:rPr>
          <w:u w:val="single"/>
        </w:rPr>
        <w:t xml:space="preserve">The attorney general or a person whose expressive rights have been violated under this subchapter may bring an action in state court for injunctive relief to compel the commission, state agency, or institution of higher education to comply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bringing an action for injunctive relief under this section may recover compensatory damages, court costs, and reasonable attorney's fees. </w:t>
      </w:r>
      <w:r>
        <w:rPr>
          <w:u w:val="single"/>
        </w:rPr>
        <w:t xml:space="preserve"> </w:t>
      </w:r>
      <w:r>
        <w:rPr>
          <w:u w:val="single"/>
        </w:rPr>
        <w:t xml:space="preserve">For purposes of this section, compensatory damages means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person's compensatory damages;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under this section is appropriate in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brought under this section must commence not later than one year after the violation occurs. </w:t>
      </w:r>
      <w:r>
        <w:rPr>
          <w:u w:val="single"/>
        </w:rPr>
        <w:t xml:space="preserve"> </w:t>
      </w:r>
      <w:r>
        <w:rPr>
          <w:u w:val="single"/>
        </w:rPr>
        <w:t xml:space="preserve">For purposes of computing the limitation period, each day of a continuing violation, including each day a rule or policy violating this section remains in effect, constitutes a separate violation.</w:t>
      </w:r>
    </w:p>
    <w:p w:rsidR="003F3435" w:rsidRDefault="0032493E">
      <w:pPr>
        <w:spacing w:line="480" w:lineRule="auto"/>
        <w:ind w:firstLine="720"/>
        <w:jc w:val="both"/>
      </w:pPr>
      <w:r>
        <w:rPr>
          <w:u w:val="single"/>
        </w:rPr>
        <w:t xml:space="preserve">2165.457. CIVIL CAUSE OF ACTION.  In addition to a suit for injunctive relief under Section 2165.456, a person whose expressive rights are affected by a rule or policy adopted by the commission, a state agency, or an institution of higher education may bring a civil action against the commission, agency, or institution for declaratory judgment in the manner provide by Chapter 37, Civil Practice and Remedies Code.</w:t>
      </w:r>
    </w:p>
    <w:p w:rsidR="003F3435" w:rsidRDefault="0032493E">
      <w:pPr>
        <w:spacing w:line="480" w:lineRule="auto"/>
        <w:ind w:firstLine="720"/>
        <w:jc w:val="both"/>
      </w:pPr>
      <w:r>
        <w:rPr>
          <w:u w:val="single"/>
        </w:rPr>
        <w:t xml:space="preserve">2165.458. WAIVER OF SOVEREIGN AND GOVERNMENTAL IMMUNITY.  Sovereign immunity and governmental immunity are waived for a violation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August 1, 2020, the policies required under Section 2165.455 as required by this Act must be adopted.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