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86R7090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Flynn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recusal from the performance of certain marriage ceremonies.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2, Family Code, is amended by adding Section 2.603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2.603.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RECUSAL FROM PERFORMANCE OF CERTAIN MARRIAGE CEREMONIES; LIMITED LIABILITY.  (a)  A person authorized to conduct a marriage ceremony under Section 2.202 may recuse himself or herself from performing the ceremony based on the person's sincerely held religious belief or conscientious objection.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declines to perform a marriage ceremony under Subsection (a) may assert that a law, policy, or adverse action of this state violates that subsection as a defense in an administrative hearing or a criminal action or as a claim or defense in a civil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described by Subsection (a) is not liable in a civil action for any damages arising from the person's recusal under that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limit any other right, privilege, or protection afforded to an individual under the laws of the United States and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2.205, Family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person from recusing himself or herself from conducting a marriage ceremony under Section 2.603.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