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86R22495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Cortez, Lopez, Minjarez,</w:t>
      </w:r>
      <w:r xml:space="preserve">
        <w:tab wTab="150" tlc="none" cTlc="0"/>
      </w:r>
      <w:r>
        <w:t xml:space="preserve">H.B.</w:t>
      </w:r>
      <w:r xml:space="preserve">
        <w:t> </w:t>
      </w:r>
      <w:r>
        <w:t xml:space="preserve">No.</w:t>
      </w:r>
      <w:r xml:space="preserve">
        <w:t> </w:t>
      </w:r>
      <w:r>
        <w:t xml:space="preserve">2111</w:t>
      </w:r>
    </w:p>
    <w:p w:rsidR="003F3435" w:rsidRDefault="0032493E">
      <w:pPr>
        <w:jc w:val="both"/>
      </w:pPr>
      <w:r xml:space="preserve">
        <w:t> </w:t>
      </w:r>
      <w:r xml:space="preserve">
        <w:t> </w:t>
      </w:r>
      <w:r xml:space="preserve">
        <w:t> </w:t>
      </w:r>
      <w:r xml:space="preserve">
        <w:t> </w:t>
      </w:r>
      <w:r xml:space="preserve">
        <w:t> </w:t>
      </w:r>
      <w:r>
        <w:t xml:space="preserve">Gutierrez,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school district's participation in certain tax increment financing reinvestment zones may be taken into account in determining the total taxable value of property in the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This subsection applies only to a reinvestment zone created by a municipality that has a population of 1.1 million or more and is predominantly located in a county that has a population of 1.8 million or less. </w:t>
      </w:r>
      <w:r>
        <w:rPr>
          <w:u w:val="single"/>
        </w:rPr>
        <w:t xml:space="preserve"> </w:t>
      </w:r>
      <w:r>
        <w:rPr>
          <w:u w:val="single"/>
        </w:rPr>
        <w:t xml:space="preserve">Notwithstanding Subsection (e), if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