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school district's participation in certain tax increment financing reinvestment zones may be taken into account in determining the total taxable value of property in the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This subsection applies only to a reinvestment zone created by a municipality that has a population of 1.1 million or more and is predominantly located in a county that has a population of 1.8 million or less. </w:t>
      </w:r>
      <w:r>
        <w:rPr>
          <w:u w:val="single"/>
        </w:rPr>
        <w:t xml:space="preserve"> </w:t>
      </w:r>
      <w:r>
        <w:rPr>
          <w:u w:val="single"/>
        </w:rPr>
        <w:t xml:space="preserve">Notwithstanding Subsection (e), if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2111 was passed by the House on April 25, 2019, by the following vote:</w:t>
      </w:r>
      <w:r xml:space="preserve">
        <w:t> </w:t>
      </w:r>
      <w:r xml:space="preserve">
        <w:t> </w:t>
      </w:r>
      <w:r>
        <w:t xml:space="preserve">Yeas 91, Nays 41,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2111 was passed by the Senate on May 21, 2019, by the following vote:</w:t>
      </w:r>
      <w:r xml:space="preserve">
        <w:t> </w:t>
      </w:r>
      <w:r xml:space="preserve">
        <w:t> </w:t>
      </w:r>
      <w:r>
        <w:t xml:space="preserve">Yeas 24,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