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2114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preexisting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1509 to read as follows:</w:t>
      </w:r>
    </w:p>
    <w:p w:rsidR="003F3435" w:rsidRDefault="0032493E">
      <w:pPr>
        <w:spacing w:line="480" w:lineRule="auto"/>
        <w:jc w:val="center"/>
      </w:pPr>
      <w:r>
        <w:rPr>
          <w:u w:val="single"/>
        </w:rPr>
        <w:t xml:space="preserve">CHAPTER 1509. COVERAGE OF PREEXISTING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1509.001.</w:t>
      </w:r>
      <w:r>
        <w:rPr>
          <w:u w:val="single"/>
        </w:rPr>
        <w:t xml:space="preserve"> </w:t>
      </w:r>
      <w:r>
        <w:rPr>
          <w:u w:val="single"/>
        </w:rPr>
        <w:t xml:space="preserve"> </w:t>
      </w:r>
      <w:r>
        <w:rPr>
          <w:u w:val="single"/>
        </w:rPr>
        <w:t xml:space="preserve">DEFINITION.  In this chapter, "preexisting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1509.003.</w:t>
      </w:r>
      <w:r>
        <w:rPr>
          <w:u w:val="single"/>
        </w:rPr>
        <w:t xml:space="preserve"> </w:t>
      </w:r>
      <w:r>
        <w:rPr>
          <w:u w:val="single"/>
        </w:rPr>
        <w:t xml:space="preserve"> </w:t>
      </w:r>
      <w:r>
        <w:rPr>
          <w:u w:val="single"/>
        </w:rPr>
        <w:t xml:space="preserve">EXCEPTIONS.  (a)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workers' compensation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1509.004.</w:t>
      </w:r>
      <w:r>
        <w:rPr>
          <w:u w:val="single"/>
        </w:rPr>
        <w:t xml:space="preserve"> </w:t>
      </w:r>
      <w:r>
        <w:rPr>
          <w:u w:val="single"/>
        </w:rPr>
        <w:t xml:space="preserve"> </w:t>
      </w:r>
      <w:r>
        <w:rPr>
          <w:u w:val="single"/>
        </w:rPr>
        <w:t xml:space="preserve">PREEXISTING CONDITION RESTRICTIONS PROHIBITED.  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an individual in a health benefit plan on the basis of a preexisting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coverage under the health benefit plan for treatment of the individual's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more for coverage than the health benefit plan issuer charges an individual who does not have a preexisting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