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86R3673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2117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submission by telephonic facsimile or electronic transmission of an application for a ballot to be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84.007(b),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submitted to the early voting clerk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subject to Subsection (b-1),</w:t>
      </w:r>
      <w:r>
        <w:t xml:space="preserve">] telephonic facsimile machine, if a machine is available in the clerk's office; 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subject to Subsection (b-1),</w:t>
      </w:r>
      <w:r>
        <w:t xml:space="preserve">] electronic transmission of a scanned application containing an original signature.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84.007(b-1), Election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application for a ballot to be voted by mail submitted on or after the effective date of this Act.  An application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