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86R10112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Neave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2140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creating an electronic application system for state student financial assistance.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61, Education Code, is amended by adding Section 61.07762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61.07762.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APPLICATION FOR STATE FINANCIAL AID.  (a) </w:t>
      </w:r>
      <w:r>
        <w:rPr>
          <w:u w:val="single"/>
        </w:rPr>
        <w:t xml:space="preserve"> </w:t>
      </w:r>
      <w:r>
        <w:rPr>
          <w:u w:val="single"/>
        </w:rPr>
        <w:t xml:space="preserve">The board shall adopt procedures to allow a person to complete and submit the Texas Application for State Financial Aid (TASFA) or a similar application for state student financial assistance by electronic submission through the board's Internet website.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the purposes of this section, the board shall continuously maintain an online database of institutions of higher education to which state student financial assistance may be applied.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changes in law made by this Act apply beginning with applications for state student financial assistance submitted for the 2020-2021 academic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2140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