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2143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 first responder for workers' compensation benefits for post-traumatic stress disorder.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504.019, Labor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t xml:space="preserve">(1)</w:t>
      </w:r>
      <w:r xml:space="preserve">
        <w:t> </w:t>
      </w:r>
      <w:r xml:space="preserve">
        <w:t> </w:t>
      </w:r>
      <w:r>
        <w:t xml:space="preserve">the disorder is caused by </w:t>
      </w:r>
      <w:r>
        <w:rPr>
          <w:u w:val="single"/>
        </w:rPr>
        <w:t xml:space="preserve">one or more events</w:t>
      </w:r>
      <w:r>
        <w:t xml:space="preserve"> [</w:t>
      </w:r>
      <w:r>
        <w:rPr>
          <w:strike/>
        </w:rPr>
        <w:t xml:space="preserve">an event</w:t>
      </w:r>
      <w:r>
        <w:t xml:space="preserve">] occurring in the course and scope of the first responder's employment; and</w:t>
      </w:r>
    </w:p>
    <w:p w:rsidR="003F3435" w:rsidRDefault="0032493E">
      <w:pPr>
        <w:spacing w:line="480" w:lineRule="auto"/>
        <w:ind w:firstLine="1440"/>
        <w:jc w:val="both"/>
      </w:pPr>
      <w:r>
        <w:t xml:space="preserve">(2)</w:t>
      </w:r>
      <w:r xml:space="preserve">
        <w:t> </w:t>
      </w:r>
      <w:r xml:space="preserve">
        <w:t> </w:t>
      </w:r>
      <w:r>
        <w:t xml:space="preserve">the preponderance of the evidence indicates that the event </w:t>
      </w:r>
      <w:r>
        <w:rPr>
          <w:u w:val="single"/>
        </w:rPr>
        <w:t xml:space="preserve">or events were</w:t>
      </w:r>
      <w:r>
        <w:t xml:space="preserve"> [</w:t>
      </w:r>
      <w:r>
        <w:rPr>
          <w:strike/>
        </w:rPr>
        <w:t xml:space="preserve">was</w:t>
      </w:r>
      <w:r>
        <w:t xml:space="preserve">] a </w:t>
      </w:r>
      <w:r>
        <w:rPr>
          <w:u w:val="single"/>
        </w:rPr>
        <w:t xml:space="preserve">producing cause</w:t>
      </w:r>
      <w:r>
        <w:t xml:space="preserve"> </w:t>
      </w:r>
      <w:r>
        <w:t xml:space="preserve">[</w:t>
      </w:r>
      <w:r>
        <w:rPr>
          <w:strike/>
        </w:rPr>
        <w:t xml:space="preserve">substantial contributing factor</w:t>
      </w:r>
      <w:r>
        <w:t xml:space="preserve">]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2143 was passed by the House on May 10, 2019, by the following vote:</w:t>
      </w:r>
      <w:r xml:space="preserve">
        <w:t> </w:t>
      </w:r>
      <w:r xml:space="preserve">
        <w:t> </w:t>
      </w:r>
      <w:r>
        <w:t xml:space="preserve">Yeas 129, Nays 0, 1 present, not voting; that the House refused to concur in Senate amendments to H.B. No. 2143 on May 24, 2019, and requested the appointment of a conference committee to consider the differences between the two houses; and that the House adopted the conference committee report on H.B. No. 2143 on May 26, 2019, by the following vote:</w:t>
      </w:r>
      <w:r xml:space="preserve">
        <w:t> </w:t>
      </w:r>
      <w:r xml:space="preserve">
        <w:t> </w:t>
      </w:r>
      <w:r>
        <w:t xml:space="preserve">Yeas 144,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2143 was passed by the Senate, with amendments, on May 22, 2019, by the following vote:</w:t>
      </w:r>
      <w:r xml:space="preserve">
        <w:t> </w:t>
      </w:r>
      <w:r xml:space="preserve">
        <w:t> </w:t>
      </w:r>
      <w:r>
        <w:t xml:space="preserve">Yeas 31, Nays 0; at the request of the House, the Senate appointed a conference committee to consider the differences between the two houses; and that the Senate adopted the conference committee report on H.B. No. 2143 on May 26,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