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 of Dallas, et al.</w:t>
      </w:r>
      <w:r xml:space="preserve">
        <w:tab wTab="150" tlc="none" cTlc="0"/>
      </w:r>
      <w:r>
        <w:t xml:space="preserve">H.B.</w:t>
      </w:r>
      <w:r xml:space="preserve">
        <w:t> </w:t>
      </w:r>
      <w:r>
        <w:t xml:space="preserve">No.</w:t>
      </w:r>
      <w:r xml:space="preserve">
        <w:t> </w:t>
      </w:r>
      <w:r>
        <w:t xml:space="preserve">2143</w:t>
      </w:r>
    </w:p>
    <w:p w:rsidR="003F3435" w:rsidRDefault="0032493E">
      <w:pPr>
        <w:spacing w:line="480" w:lineRule="auto"/>
        <w:jc w:val="both"/>
      </w:pPr>
      <w:r xml:space="preserve">
        <w:t> </w:t>
      </w:r>
      <w:r xml:space="preserve">
        <w:t> </w:t>
      </w:r>
      <w:r xml:space="preserve">
        <w:t> </w:t>
      </w:r>
      <w:r xml:space="preserve">
        <w:t> </w:t>
      </w:r>
      <w:r xml:space="preserve">
        <w:t> </w:t>
      </w:r>
      <w:r>
        <w:t xml:space="preserve">(Senate Sponsor</w:t>
      </w:r>
      <w:r xml:space="preserve">
        <w:t> </w:t>
      </w:r>
      <w:r>
        <w:t xml:space="preserve">-</w:t>
      </w:r>
      <w:r xml:space="preserve">
        <w:t> </w:t>
      </w:r>
      <w:r>
        <w:t xml:space="preserve">Whitmire)</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13,</w:t>
      </w:r>
      <w:r xml:space="preserve">
        <w:t> </w:t>
      </w:r>
      <w:r>
        <w:t xml:space="preserve">2019; May</w:t>
      </w:r>
      <w:r xml:space="preserve">
        <w:t> </w:t>
      </w:r>
      <w:r>
        <w:t xml:space="preserve">13,</w:t>
      </w:r>
      <w:r xml:space="preserve">
        <w:t> </w:t>
      </w:r>
      <w:r>
        <w:t xml:space="preserve">2019, read first time and referred to Committee on Business &amp; Commerce; May</w:t>
      </w:r>
      <w:r xml:space="preserve">
        <w:t> </w:t>
      </w:r>
      <w:r>
        <w:t xml:space="preserve">20,</w:t>
      </w:r>
      <w:r xml:space="preserve">
        <w:t> </w:t>
      </w:r>
      <w:r>
        <w:t xml:space="preserve">2019, reported adversely, with favorable Committee Substitute by the following vote:</w:t>
      </w:r>
      <w:r>
        <w:t xml:space="preserve"> </w:t>
      </w:r>
      <w:r>
        <w:t xml:space="preserve"> </w:t>
      </w:r>
      <w:r>
        <w:t xml:space="preserve">Yeas 9, Nays 0; May</w:t>
      </w:r>
      <w:r xml:space="preserve">
        <w:t> </w:t>
      </w:r>
      <w:r>
        <w:t xml:space="preserve">20,</w:t>
      </w:r>
      <w:r xml:space="preserve">
        <w:t> </w:t>
      </w:r>
      <w:r>
        <w:t xml:space="preserve">2019,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Campbell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Creighton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Menéndez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Schwertner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Whitmire</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Zaffirini</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2143</w:t>
      </w:r>
      <w:r xml:space="preserve">
        <w:tab wTab="150" tlc="none" cTlc="0"/>
      </w:r>
      <w:r>
        <w:t xml:space="preserve">By:</w:t>
      </w:r>
      <w:r xml:space="preserve">
        <w:t> </w:t>
      </w:r>
      <w:r xml:space="preserve">
        <w:t> </w:t>
      </w:r>
      <w:r>
        <w:t xml:space="preserve">Whitmire</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eligibility of a first responder for workers' compensation benefits for post-traumatic stress disorder.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504.019, Labor Code, is amended by amending Subsection (b) and adding Subsection (c) to read as follows:</w:t>
      </w:r>
    </w:p>
    <w:p w:rsidR="003F3435" w:rsidRDefault="0032493E">
      <w:pPr>
        <w:spacing w:line="480" w:lineRule="auto"/>
        <w:ind w:firstLine="720"/>
        <w:jc w:val="both"/>
      </w:pPr>
      <w:r>
        <w:t xml:space="preserve">(b)</w:t>
      </w:r>
      <w:r xml:space="preserve">
        <w:t> </w:t>
      </w:r>
      <w:r xml:space="preserve">
        <w:t> </w:t>
      </w:r>
      <w:r>
        <w:t xml:space="preserve">Post-traumatic stress disorder suffered by a first responder is a compensable injury under this subtitle only if it is based on a diagnosis that:</w:t>
      </w:r>
    </w:p>
    <w:p w:rsidR="003F3435" w:rsidRDefault="0032493E">
      <w:pPr>
        <w:spacing w:line="480" w:lineRule="auto"/>
        <w:ind w:firstLine="1440"/>
        <w:jc w:val="both"/>
      </w:pPr>
      <w:r>
        <w:t xml:space="preserve">(1)</w:t>
      </w:r>
      <w:r xml:space="preserve">
        <w:t> </w:t>
      </w:r>
      <w:r xml:space="preserve">
        <w:t> </w:t>
      </w:r>
      <w:r>
        <w:t xml:space="preserve">the disorder is caused by </w:t>
      </w:r>
      <w:r>
        <w:rPr>
          <w:u w:val="single"/>
        </w:rPr>
        <w:t xml:space="preserve">one or more events</w:t>
      </w:r>
      <w:r>
        <w:t xml:space="preserve"> [</w:t>
      </w:r>
      <w:r>
        <w:rPr>
          <w:strike/>
        </w:rPr>
        <w:t xml:space="preserve">an event</w:t>
      </w:r>
      <w:r>
        <w:t xml:space="preserve">] occurring in the course and scope of the first responder's employment; and</w:t>
      </w:r>
    </w:p>
    <w:p w:rsidR="003F3435" w:rsidRDefault="0032493E">
      <w:pPr>
        <w:spacing w:line="480" w:lineRule="auto"/>
        <w:ind w:firstLine="1440"/>
        <w:jc w:val="both"/>
      </w:pPr>
      <w:r>
        <w:t xml:space="preserve">(2)</w:t>
      </w:r>
      <w:r xml:space="preserve">
        <w:t> </w:t>
      </w:r>
      <w:r xml:space="preserve">
        <w:t> </w:t>
      </w:r>
      <w:r>
        <w:t xml:space="preserve">the preponderance of the evidence indicates that</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 the event </w:t>
      </w:r>
      <w:r>
        <w:rPr>
          <w:u w:val="single"/>
        </w:rPr>
        <w:t xml:space="preserve">or events described by Subdivision (1) were</w:t>
      </w:r>
      <w:r>
        <w:t xml:space="preserve"> [</w:t>
      </w:r>
      <w:r>
        <w:rPr>
          <w:strike/>
        </w:rPr>
        <w:t xml:space="preserve">was</w:t>
      </w:r>
      <w:r>
        <w:t xml:space="preserve">] a substantial contributing factor of the disorder</w:t>
      </w:r>
      <w:r>
        <w:rPr>
          <w:u w:val="single"/>
        </w:rPr>
        <w:t xml:space="preserve">;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if not for the event or events described by Subdivision (1), the disorder would not have occurred</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For purposes of this subtitle, the date of injury for post-traumatic stress disorder suffered by a first responder is the date on which the first responder first knew or should have known that the disorder may be related to the first responder's employment.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 claim for workers' compensation benefits based on a compensable injury that occurs on or after the effective date of this Act.  A claim based on a compensable injury that occurs before that date is governed by the law as it existed on the date the compensable injury occurred, and the former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2143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