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86R8443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public educators regarding suicide prevention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 </w:t>
      </w:r>
      <w:r>
        <w:rPr>
          <w:u w:val="single"/>
        </w:rPr>
        <w:t xml:space="preserve">that requires an educator to be trained at least once every five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educator subject to continuing education requirements immediately before the effective date of this Act is not required to comply with the continuing education requirements described by Section 21.451(d)(3)(B), Education Code, as amended by this Act, for any continuing education requirement period that ends before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