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86R9693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2148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regarding the feasibility of implementing certain renewable energy standards.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"commission" means the Public Utility Commission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FEASIBILITY STUDY ON RENEWABLE ENERGY STANDARD.  (a) </w:t>
      </w:r>
      <w:r>
        <w:t xml:space="preserve"> </w:t>
      </w:r>
      <w:r>
        <w:t xml:space="preserve">The commission shall conduct a study on the feasibility of expanding the renewable energy goal under Section 39.904, Utilities Code, to establish a goal that 50 percent of the generating capacity installed in this state comes from renewable sources by 2030 and 100 percent of the generating capacity installed in this state comes from renewable sources by 2050.</w:t>
      </w:r>
    </w:p>
    <w:p w:rsidR="003F3435" w:rsidRDefault="0032493E">
      <w:pPr>
        <w:spacing w:line="480" w:lineRule="auto"/>
        <w:ind w:firstLine="720"/>
        <w:jc w:val="both"/>
      </w:pPr>
      <w:r>
        <w:t xml:space="preserve">(b)</w:t>
      </w:r>
      <w:r xml:space="preserve">
        <w:t> </w:t>
      </w:r>
      <w:r xml:space="preserve">
        <w:t> </w:t>
      </w:r>
      <w:r>
        <w:t xml:space="preserve">The study conducted under this section must:</w:t>
      </w:r>
    </w:p>
    <w:p w:rsidR="003F3435" w:rsidRDefault="0032493E">
      <w:pPr>
        <w:spacing w:line="480" w:lineRule="auto"/>
        <w:ind w:firstLine="1440"/>
        <w:jc w:val="both"/>
      </w:pPr>
      <w:r>
        <w:t xml:space="preserve">(1)</w:t>
      </w:r>
      <w:r xml:space="preserve">
        <w:t> </w:t>
      </w:r>
      <w:r xml:space="preserve">
        <w:t> </w:t>
      </w:r>
      <w:r>
        <w:t xml:space="preserve">identify:</w:t>
      </w:r>
    </w:p>
    <w:p w:rsidR="003F3435" w:rsidRDefault="0032493E">
      <w:pPr>
        <w:spacing w:line="480" w:lineRule="auto"/>
        <w:ind w:firstLine="2160"/>
        <w:jc w:val="both"/>
      </w:pPr>
      <w:r>
        <w:t xml:space="preserve">(A)</w:t>
      </w:r>
      <w:r xml:space="preserve">
        <w:t> </w:t>
      </w:r>
      <w:r xml:space="preserve">
        <w:t> </w:t>
      </w:r>
      <w:r>
        <w:t xml:space="preserve">opportunities to achieve the goal; and</w:t>
      </w:r>
    </w:p>
    <w:p w:rsidR="003F3435" w:rsidRDefault="0032493E">
      <w:pPr>
        <w:spacing w:line="480" w:lineRule="auto"/>
        <w:ind w:firstLine="2160"/>
        <w:jc w:val="both"/>
      </w:pPr>
      <w:r>
        <w:t xml:space="preserve">(B)</w:t>
      </w:r>
      <w:r xml:space="preserve">
        <w:t> </w:t>
      </w:r>
      <w:r xml:space="preserve">
        <w:t> </w:t>
      </w:r>
      <w:r>
        <w:t xml:space="preserve">challenges to overcome in order to meet the goal;</w:t>
      </w:r>
    </w:p>
    <w:p w:rsidR="003F3435" w:rsidRDefault="0032493E">
      <w:pPr>
        <w:spacing w:line="480" w:lineRule="auto"/>
        <w:ind w:firstLine="1440"/>
        <w:jc w:val="both"/>
      </w:pPr>
      <w:r>
        <w:t xml:space="preserve">(2)</w:t>
      </w:r>
      <w:r xml:space="preserve">
        <w:t> </w:t>
      </w:r>
      <w:r xml:space="preserve">
        <w:t> </w:t>
      </w:r>
      <w:r>
        <w:t xml:space="preserve">examine economic, environmental, and health benefits associated with achieving the goal; and</w:t>
      </w:r>
    </w:p>
    <w:p w:rsidR="003F3435" w:rsidRDefault="0032493E">
      <w:pPr>
        <w:spacing w:line="480" w:lineRule="auto"/>
        <w:ind w:firstLine="1440"/>
        <w:jc w:val="both"/>
      </w:pPr>
      <w:r>
        <w:t xml:space="preserve">(3)</w:t>
      </w:r>
      <w:r xml:space="preserve">
        <w:t> </w:t>
      </w:r>
      <w:r xml:space="preserve">
        <w:t> </w:t>
      </w:r>
      <w:r>
        <w:t xml:space="preserve">develop strategies for achieving the goal.</w:t>
      </w:r>
    </w:p>
    <w:p w:rsidR="003F3435" w:rsidRDefault="0032493E">
      <w:pPr>
        <w:spacing w:line="480" w:lineRule="auto"/>
        <w:ind w:firstLine="720"/>
        <w:jc w:val="both"/>
      </w:pPr>
      <w:r>
        <w:t xml:space="preserve">(c)</w:t>
      </w:r>
      <w:r xml:space="preserve">
        <w:t> </w:t>
      </w:r>
      <w:r xml:space="preserve">
        <w:t> </w:t>
      </w:r>
      <w:r>
        <w:t xml:space="preserve">The commission may enter into memoranda of understanding with any necessary and appropriate agencies to complete this study.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Not later than December 31, 2020, the commission shall report the results of the study and any recommendations to the legislature. </w:t>
      </w:r>
      <w:r>
        <w:t xml:space="preserve"> </w:t>
      </w:r>
      <w:r>
        <w:t xml:space="preserve">The report must include any statutory changes necessary to implement the recommendations made in the report.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