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et al.</w:t>
      </w:r>
      <w:r xml:space="preserve">
        <w:tab wTab="150" tlc="none" cTlc="0"/>
      </w:r>
      <w:r>
        <w:t xml:space="preserve">H.B.</w:t>
      </w:r>
      <w:r xml:space="preserve">
        <w:t> </w:t>
      </w:r>
      <w:r>
        <w:t xml:space="preserve">No.</w:t>
      </w:r>
      <w:r xml:space="preserve">
        <w:t> </w:t>
      </w:r>
      <w:r>
        <w:t xml:space="preserve">2155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 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13,</w:t>
      </w:r>
      <w:r xml:space="preserve">
        <w:t> </w:t>
      </w:r>
      <w:r>
        <w:t xml:space="preserve">2019, read first time and referred to Committee on Intergovernmental Relations;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4, Nays 3;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2155</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grant program to reduce wait times for agricultural inspections of vehicles at ports of entry along the Texas-Mexico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12.050.</w:t>
      </w:r>
      <w:r>
        <w:rPr>
          <w:u w:val="single"/>
        </w:rPr>
        <w:t xml:space="preserve"> </w:t>
      </w:r>
      <w:r>
        <w:rPr>
          <w:u w:val="single"/>
        </w:rPr>
        <w:t xml:space="preserve"> </w:t>
      </w:r>
      <w:r>
        <w:rPr>
          <w:u w:val="single"/>
        </w:rPr>
        <w:t xml:space="preserve">TRADE AGRICULTURAL INSPECTION GRANT PROGRAM.  (a)</w:t>
      </w:r>
      <w:r>
        <w:rPr>
          <w:u w:val="single"/>
        </w:rPr>
        <w:t xml:space="preserve"> </w:t>
      </w:r>
      <w:r>
        <w:rPr>
          <w:u w:val="single"/>
        </w:rPr>
        <w:t xml:space="preserve"> </w:t>
      </w:r>
      <w:r>
        <w:rPr>
          <w:u w:val="single"/>
        </w:rP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request proposals for the award of a grant under this section.  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recipient may use grant money received under this section only to pay for activities directly related to the purpose of the grant program as described by Subsection (a).  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enter into a contract that includes performance requirements with each grant recipient.  The department shall monitor and enforce the terms of the contract.  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to receive a grant under this section, a nonprofit organization must provide matching funds.  The department may not award a grant to a nonprofit organization until the department certifies that the nonprofit organization has the matching funds.  The amount of the grant may not exceed the amount of matching funds.  The department may not require a nonprofit organization to provide matching funds in an amount that exceeds the amount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total amount of grants awarded under this section may not exceed $725,000 for the duration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may adopt any rules necessary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January 15, 2021,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Unless continued in existence by the legislature,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