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86R8295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programs and services for inmates and state jail felony defendants, including the creation of a work release program and the availability of peer support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Sections 493.032 and 493.033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WORK RELEASE PROGRAM.  (a)  In this section, "work release program" means a program that allows inmates and state jail felony defendants to work at paid employment in the community while continuing to serve a term of confinement in a facility operated by or under contract with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work release program at select state jail felony facilities that are located near urban areas of this state.  Notwithstanding any other law, an inmate participating in a work release program may be housed in a state jail felony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to implement and administer this section, including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participation in a work release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for identifying inmates and state jail felony defendants who are eligible to participate in a work release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selecting work release program participants.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eligibility criteria established under Subsection (c)(1) must, at a minimum,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inmate is not eligible to participate in a work release program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inmate: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presumptive parole date, as that term is defined by Section 499.001, that is not more than two years from the date of the inmate's application to participate in the program;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scheduled to be discharged, or will be eligible for release on mandatory supervision, on a date that is not more than two years from the date of the inmate's application to participate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inmate has demonstrated good behavior and has not been the subject of any disciplinary actions during the period specified by board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inmate has diligently participated in an educational, vocational, treatment, or work program during the period specified by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defendant is not eligible to participate in a work release program unless the defendant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demonstrated good behavior and has not been the subject of any disciplinary actions during the period specified by board rule;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diligently participated in an educational, vocational, treatment, or work program during the period specified by board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employer of a work release program participant shall pay the participant's salary to the department.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deposit not less than 50 percent of the participant's net earnings during a pay period into a special fund to be given to the participant on the participant's discharge or release on parole or to mandatory supervision,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deduct from the participant's net earnings during a pay period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25 percent of the earnings for the purpose of reimbursing the department for costs associated with the work release program, including transportation costs, costs of any additional security provided while the participant is in the community, and costs of any additional programming or services described by Subsection (f);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amount from the remainder of the earnings as necessary to pay any court-ordered financial obligations of the participant, including child support or restitution to the victim of an offense committed by the participant.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provide additional programming and services to work release program participants, including reentry and reintegration services and access to peer support services as described by Section 493.033.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administering a work release program established under this section, the department shall work with the local business community to expand opportunities for future program participants and shall give special consideration to businesses that pay a competitive wage and have a history of employing and retaining individuals who have criminal records.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maintain a record of employment rates, retention rates, pay rates, and recidivism rates of current and former work release program participants and shall annually publish that information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493.033.</w:t>
      </w:r>
      <w:r>
        <w:rPr>
          <w:u w:val="single"/>
        </w:rPr>
        <w:t xml:space="preserve"> </w:t>
      </w:r>
      <w:r>
        <w:rPr>
          <w:u w:val="single"/>
        </w:rPr>
        <w:t xml:space="preserve"> </w:t>
      </w:r>
      <w:r>
        <w:rPr>
          <w:u w:val="single"/>
        </w:rPr>
        <w:t xml:space="preserve">AVAILABILITY OF PEER SUPPORT SERVICES.  (a)  The department shall adopt a policy to increase the availability of formal and informal peer support services, including certified peer specialist services, to a person confined in a facility operated by or under contract with the department, including a state jail felony facility, substance abuse felony punishment facility, or intermediate sanction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for persons who have previously been convicted of an offense, including releasees on parole or mandatory supervision and defendants on community supervision, to serve as certified peer specialists in a facility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conditions under which a person described by Subdivision (1) may serve as a certified peer specialist;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for persons confined in a facility described by Subsection (a) to serve in a peer support role, provided that the persons are trained and supervised by a community-based organization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the policy adopted under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community-based organizations that provide peer specialist training, including training in any of the following peer support specialties: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peer specialist;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peer reentry specialist;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peer recovery specialist;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peer support specialty recognized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and assist persons described by Subsection (b)(3), with particular emphasis on persons who have been involved with programs or services relating to substance abuse or behavioral health, to participate in training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Texas Department of Criminal Justice shall:</w:t>
      </w:r>
    </w:p>
    <w:p w:rsidR="003F3435" w:rsidRDefault="0032493E">
      <w:pPr>
        <w:spacing w:line="480" w:lineRule="auto"/>
        <w:ind w:firstLine="1440"/>
        <w:jc w:val="both"/>
      </w:pPr>
      <w:r>
        <w:t xml:space="preserve">(1)</w:t>
      </w:r>
      <w:r xml:space="preserve">
        <w:t> </w:t>
      </w:r>
      <w:r xml:space="preserve">
        <w:t> </w:t>
      </w:r>
      <w:r>
        <w:t xml:space="preserve">establish the work release program required by Section 493.032, Government Code, as added by this Act; and</w:t>
      </w:r>
    </w:p>
    <w:p w:rsidR="003F3435" w:rsidRDefault="0032493E">
      <w:pPr>
        <w:spacing w:line="480" w:lineRule="auto"/>
        <w:ind w:firstLine="1440"/>
        <w:jc w:val="both"/>
      </w:pPr>
      <w:r>
        <w:t xml:space="preserve">(2)</w:t>
      </w:r>
      <w:r xml:space="preserve">
        <w:t> </w:t>
      </w:r>
      <w:r xml:space="preserve">
        <w:t> </w:t>
      </w:r>
      <w:r>
        <w:t xml:space="preserve">adopt and implement the policy required by Section 493.033,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