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86R4993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w:t>
      </w:r>
      <w:r>
        <w:t xml:space="preserve"> </w:t>
      </w:r>
      <w:r>
        <w:t xml:space="preserve">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  </w:t>
      </w:r>
      <w:r>
        <w:rPr>
          <w:u w:val="single"/>
        </w:rPr>
        <w:t xml:space="preserve">In addition, notwithstanding the other provisions of this subdivision, land qualifies for appraisal as qualified open-space land under this subchapter if the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currently devoted principally to agricultural use to the degree of intensity generally accepted in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acquired by a person who owns land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appraised as qualified open-space land under this subchapter;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adjacent to the land acquired.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land for an ad valorem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