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86R10276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types of vehicles regulated as neighborhood electric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551.301,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551.301.</w:t>
      </w:r>
      <w:r xml:space="preserve">
        <w:t> </w:t>
      </w:r>
      <w:r xml:space="preserve">
        <w:t> </w:t>
      </w:r>
      <w:r>
        <w:t xml:space="preserve">DEFINITION.  In this subchapter, "neighborhood electric vehicle" means </w:t>
      </w:r>
      <w:r>
        <w:rPr>
          <w:u w:val="single"/>
        </w:rPr>
        <w:t xml:space="preserve">an electric</w:t>
      </w:r>
      <w:r>
        <w:t xml:space="preserve"> [</w:t>
      </w:r>
      <w:r>
        <w:rPr>
          <w:strike/>
        </w:rPr>
        <w:t xml:space="preserve">a</w:t>
      </w:r>
      <w:r>
        <w:t xml:space="preserve">] vehicle that can attain a maximum speed of 35 miles per hour on a paved level surface and otherwise complies with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Federal Motor Vehicle Safety Standards applicable to motorcycles in 49 C.F.R. Part 571 for a vehicle that has at least three wheels in contact with the ground;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Federal Motor Vehicle Safety Standard 500 (49 C.F.R. Section 571.500) </w:t>
      </w:r>
      <w:r>
        <w:rPr>
          <w:u w:val="single"/>
        </w:rPr>
        <w:t xml:space="preserve">for low-speed vehicles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