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86R19234 MAW-F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Allen, Reynolds, Davis of Dallas,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2168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Sherman, Sr., Collier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trauma history screening for certain defendants and inmates.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501, Government Code, is amended by adding Section 501.070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501.070.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TRAUMA HISTORY SCREENING. 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screen each inmate during the diagnostic process to determine whether the inmate has experienced adverse childhood experiences or other significant trauma;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refer any inmate exhibiting symptoms of post-traumatic stress disorder or other symptoms of trauma as needed to the appropriate medical or mental health care professional for treatment.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509, Government Code, is amended by adding Section 509.0042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509.0042.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TRAUMA HISTORY SCREENING.  The division shall require each department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screen each defendant at the time of the defendant's initial placement on community supervision to determine whether the defendant has experienced adverse childhood experiences or other significant trauma;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refer any defendant exhibiting symptoms of post-traumatic stress disorder or other symptoms of trauma as needed to the appropriate medical or mental health care professional for treatment.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