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86R8185 MAW-F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2168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trauma history assessment for certain defendants and inmates.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501, Government Code, is amended by adding Section 501.070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501.070.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TRAUMA HISTORY ASSESSMENT. 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each inmate during the diagnostic process to determine whether the inmate has experienced adverse childhood experiences or other significant trauma; and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 the inmate as needed to the appropriate medical or mental health care professional for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509, Government Code, is amended by adding Section 509.0042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509.0042.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TRAUMA HISTORY ASSESSMENT.  The division shall require each department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assess each defendant at the time of the defendant's initial placement on community supervision to determine whether the defendant has experienced adverse childhood experiences or other significant trauma;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refer the defendant as needed to the appropriate medical or mental health care professional for treatment.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2168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