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86R8185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trauma history assessment for certain defendants and inmates.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Government Code, is amended by adding Section 501.070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501.070.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TRAUMA HISTORY ASSESSMENT. 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assess each inmate during the diagnostic process to determine whether the inmate has experienced adverse childhood experiences or other significant trauma;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refer the inmate as needed to the appropriate medical or mental health care professional for treatment.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509, Government Code, is amended by adding Section 509.0042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509.0042.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TRAUMA HISTORY ASSESSMENT.  The division shall require each department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assess each defendant at the time of the defendant's initial placement on community supervision to determine whether the defendant has experienced adverse childhood experiences or other significant trauma;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refer the defendant as needed to the appropriate medical or mental health care professional for treatment.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