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86R8328 MAW-D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Calanni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2170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human trafficking awareness training for members of the legislature.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301, Government Code, is amended by adding Subchapter F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F.  REQUIRED TRAINING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301.071.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REQUIRED HUMAN TRAFFICKING AWARENESS TRAINING.  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applies only if the office of the attorney general provides an online human trafficking awareness video and that video is available to be viewed by a member of the legislature.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house of the legislature shall require each member of that house to view the training video described by Subsection (a) at least once every two years.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member shall submit to the presiding officer of the applicable house a statement verifying that the member viewed the training video.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