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controlled substance prescriptions under the Texas Controlled Substances Act;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copy and shall send information to the board as required by Section 481.075.</w:t>
      </w:r>
      <w:r>
        <w:t xml:space="preserve">]  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patient with a medical diagnosis documenting a terminal illness may be filled in partial quantities to include individual dosage units.  If there is any question about whether a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"terminally ill" or an "LTCF patient."  A prescription that is partially filled and does not contain the notation "terminally ill"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 written as a word, if the prescription is written;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t xml:space="preserve">[</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before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w:t>
      </w:r>
      <w:r>
        <w:rPr>
          <w:u w:val="single"/>
        </w:rPr>
        <w:t xml:space="preserve"> </w:t>
      </w:r>
      <w:r>
        <w:rPr>
          <w:u w:val="single"/>
        </w:rP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On expiration of the waiver, the prescriber may reapply for a waiver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481, Health and Safety Code, is amended by adding Sections 481.07635 and 481.07636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CONTINUING EDUCATION.  (a) </w:t>
      </w:r>
      <w:r>
        <w:rPr>
          <w:u w:val="single"/>
        </w:rPr>
        <w:t xml:space="preserve"> </w:t>
      </w:r>
      <w:r>
        <w:rPr>
          <w:u w:val="single"/>
        </w:rPr>
        <w:t xml:space="preserve">A person authorized to receive information under Section 481.076(a)(5) shall, not later than the first anniversary after the person is issued a license, certification, or registration to prescribe or dispense controlled substances under this chapter, complete two hours of professional education related to approved procedures of prescribing and monitoring controlled substances.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authorized to receive information may annually take the professional education course under this section to fulfil hours toward the ethics education requirement of the person's license, certification, or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regulatory agency that issued the license, certification, or registration to a person authorized to receive information under Section 481.076(a)(5) shall approve professional education to satisfy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481.07636.</w:t>
      </w:r>
      <w:r>
        <w:rPr>
          <w:u w:val="single"/>
        </w:rPr>
        <w:t xml:space="preserve"> </w:t>
      </w:r>
      <w:r>
        <w:rPr>
          <w:u w:val="single"/>
        </w:rPr>
        <w:t xml:space="preserve"> </w:t>
      </w:r>
      <w:r>
        <w:rPr>
          <w:u w:val="single"/>
        </w:rPr>
        <w:t xml:space="preserve">OPIOID PRESCRIPTION LIMITS.  (a) </w:t>
      </w:r>
      <w:r>
        <w:rPr>
          <w:u w:val="single"/>
        </w:rPr>
        <w:t xml:space="preserve"> </w:t>
      </w:r>
      <w:r>
        <w:rPr>
          <w:u w:val="single"/>
        </w:rPr>
        <w:t xml:space="preserve">In this section, "acute pain" means pain with abrupt onset that is caused by an injury or other process that is not ongoing.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initial treatment of acute pain, a practitioner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prescription for an opioid in an amount that exceeds a seven-day supply;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refill of an opioid.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prescription for an opioid approved by the United States Food and Drug Administration for the treatment of substance addiction that is issued by a practitioner for the treatment of substance addiction.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dispenser is not subject to criminal, civil, or administrative penalties for dispensing or refusing to dispense a controlled substance under a prescription that exceeds the limits provided by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t xml:space="preserve">[</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32.024, Human Resources Code, is amended by adding Subsection (z-2) to read as follows:</w:t>
      </w:r>
    </w:p>
    <w:p w:rsidR="003F3435" w:rsidRDefault="0032493E">
      <w:pPr>
        <w:spacing w:line="480" w:lineRule="auto"/>
        <w:ind w:firstLine="720"/>
        <w:jc w:val="both"/>
      </w:pPr>
      <w:r>
        <w:rPr>
          <w:u w:val="single"/>
        </w:rPr>
        <w:t xml:space="preserve">(z-2)</w:t>
      </w:r>
      <w:r>
        <w:rPr>
          <w:u w:val="single"/>
        </w:rPr>
        <w:t xml:space="preserve"> </w:t>
      </w:r>
      <w:r>
        <w:rPr>
          <w:u w:val="single"/>
        </w:rPr>
        <w:t xml:space="preserve"> </w:t>
      </w:r>
      <w:r>
        <w:rPr>
          <w:u w:val="single"/>
        </w:rPr>
        <w:t xml:space="preserve">The limits on prescription drugs and medications under the medical assistance program provided by Subsections (z) and (z-1) do not apply to a prescription for an opioid for the initial treatment of acute pain under Section 481.07636, Health and Safety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481.0756, 481.076, 481.0761, 481.0762, 481.0763, 481.07635, 481.07636,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