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86R21498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2176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Lavaca Hospital District to lease district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1051.107, Special District Local Laws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may lease all or part of the district's </w:t>
      </w:r>
      <w:r>
        <w:rPr>
          <w:u w:val="single"/>
        </w:rPr>
        <w:t xml:space="preserve">land,</w:t>
      </w:r>
      <w:r>
        <w:t xml:space="preserve"> </w:t>
      </w:r>
      <w:r>
        <w:t xml:space="preserve">buildings</w:t>
      </w:r>
      <w:r>
        <w:rPr>
          <w:u w:val="single"/>
        </w:rPr>
        <w:t xml:space="preserve">,</w:t>
      </w:r>
      <w:r>
        <w:t xml:space="preserve"> and [</w:t>
      </w:r>
      <w:r>
        <w:rPr>
          <w:strike/>
        </w:rPr>
        <w:t xml:space="preserve">other</w:t>
      </w:r>
      <w:r>
        <w:t xml:space="preserve">] facilities on terms considered to be in the best interest of the district's inhabitants. The term of the lease may not exceed </w:t>
      </w:r>
      <w:r>
        <w:rPr>
          <w:u w:val="single"/>
        </w:rPr>
        <w:t xml:space="preserve">50</w:t>
      </w:r>
      <w:r>
        <w:t xml:space="preserve"> [</w:t>
      </w:r>
      <w:r>
        <w:rPr>
          <w:strike/>
        </w:rPr>
        <w:t xml:space="preserve">25</w:t>
      </w:r>
      <w:r>
        <w:t xml:space="preserve">]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lease of the district's land to a private entity under Subsection (b) must include a provision that requires the lessee to indemnify the district for and exempt the district from any liability resulting from an act or omission of the lessee.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1051.107(b-1), Special District Local Laws Code, as added by this Act, applies only to a contract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2176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