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grounds for imposing certain sanctions on certain persons for engaging in certain conduct in connection with the appointment of members of or the functions of appraisal review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6.41(f) and (i), Tax Code, are amended to read as follows:</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by a majority vote of the appraisal district board of directors, or by the local administrative district judge or the judge's designee, as applicable, that appointed the member.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clear and convincing</w:t>
      </w:r>
      <w:r>
        <w:t xml:space="preserve">] evidence of repeated bias or misconduct.</w:t>
      </w:r>
    </w:p>
    <w:p w:rsidR="003F3435" w:rsidRDefault="0032493E">
      <w:pPr>
        <w:spacing w:line="480" w:lineRule="auto"/>
        <w:ind w:firstLine="720"/>
        <w:jc w:val="both"/>
      </w:pPr>
      <w:r>
        <w:t xml:space="preserve">(i)</w:t>
      </w:r>
      <w:r xml:space="preserve">
        <w:t> </w:t>
      </w:r>
      <w:r xml:space="preserve">
        <w:t> </w:t>
      </w:r>
      <w:r>
        <w:t xml:space="preserve">This subsection applies only to an appraisal district described by Subsection (d-1).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The taxpayer liaison officer for the appraisal district shall report the contents of the communication relating to or described by Subsection (f) to the local administrative district judge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communication between a property tax consultant or a property owner or an agent of the property owner and the local administrative district judge regarding information relating to or described by Subsection (f)</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Section 6.41(f), Tax Code, as amended by this Act, applies only to a proceeding to remove an appraisal review board member that begins on or after the effective date of this Act.  A proceeding to remove an appraisal review board member that began before the effective date of this Act is governed by that subsection as it existed on the date the proceeding to remove the board member began,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6.41(i), Tax Code, applies only to an offense committed under that subsection before, on, or after the effective date of this Act, except that a final conviction for an offense committed under that subsection before the effective date of this Act is unaffected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2179 was passed by the House on April 2, 2019, by the following vote:</w:t>
      </w:r>
      <w:r xml:space="preserve">
        <w:t> </w:t>
      </w:r>
      <w:r xml:space="preserve">
        <w:t> </w:t>
      </w:r>
      <w:r>
        <w:t xml:space="preserve">Yeas 146,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2179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