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 Toth</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2179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Property Tax; May</w:t>
      </w:r>
      <w:r xml:space="preserve">
        <w:t> </w:t>
      </w:r>
      <w:r>
        <w:t xml:space="preserve">17,</w:t>
      </w:r>
      <w:r xml:space="preserve">
        <w:t> </w:t>
      </w:r>
      <w:r>
        <w:t xml:space="preserve">2019, reported favorably by the following vote:</w:t>
      </w:r>
      <w:r>
        <w:t xml:space="preserve"> </w:t>
      </w:r>
      <w:r>
        <w:t xml:space="preserve"> </w:t>
      </w:r>
      <w:r>
        <w:t xml:space="preserve">Yeas 4,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grounds for imposing certain sanctions on certain persons for engaging in certain conduct in connection with the appointment of members of or the functions of appraisal review boards.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6.41(f) and (i), Tax Code, are amended to read as follows:</w:t>
      </w:r>
    </w:p>
    <w:p w:rsidR="003F3435" w:rsidRDefault="0032493E">
      <w:pPr>
        <w:spacing w:line="480" w:lineRule="auto"/>
        <w:ind w:firstLine="720"/>
        <w:jc w:val="both"/>
      </w:pPr>
      <w:r>
        <w:t xml:space="preserve">(f)</w:t>
      </w:r>
      <w:r xml:space="preserve">
        <w:t> </w:t>
      </w:r>
      <w:r xml:space="preserve">
        <w:t> </w:t>
      </w:r>
      <w:r>
        <w:t xml:space="preserve">A member of the board may be removed from the board by a majority vote of the appraisal district board of directors, or by the local administrative district judge or the judge's designee, as applicable, that appointed the member.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clear and convincing</w:t>
      </w:r>
      <w:r>
        <w:t xml:space="preserve">] evidence of repeated bias or misconduct.</w:t>
      </w:r>
    </w:p>
    <w:p w:rsidR="003F3435" w:rsidRDefault="0032493E">
      <w:pPr>
        <w:spacing w:line="480" w:lineRule="auto"/>
        <w:ind w:firstLine="720"/>
        <w:jc w:val="both"/>
      </w:pPr>
      <w:r>
        <w:t xml:space="preserve">(i)</w:t>
      </w:r>
      <w:r xml:space="preserve">
        <w:t> </w:t>
      </w:r>
      <w:r xml:space="preserve">
        <w:t> </w:t>
      </w:r>
      <w:r>
        <w:t xml:space="preserve">This subsection applies only to an appraisal district described by Subsection (d-1). A chief appraiser or another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 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 The taxpayer liaison officer for the appraisal district shall report the contents of the communication relating to or described by Subsection (f) to the local administrative district judge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communication between a property tax consultant or a property owner or an agent of the property owner and the local administrative district judge regarding information relating to or described by Subsection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6.41(f), Tax Code, as amended by this Act, applies only to a proceeding to remove an appraisal review board member that begins on or after the effective date of this Act.  A proceeding to remove an appraisal review board member that began before the effective date of this Act is governed by that subsection as it existed on the date the proceeding to remove the board member began,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6.41(i), Tax Code, applies only to an offense committed under that subsection before, on, or after the effective date of this Act, except that a final conviction for an offense committed under that subsection before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