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86R10673 SCL-F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Reynolds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recording of oral depositions.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20, Civil Practice and Remedies Code, is amended by adding Section 20.003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NON-STENOGRAPHIC RECORDING. </w:t>
      </w:r>
      <w:r>
        <w:rPr>
          <w:u w:val="single"/>
        </w:rPr>
        <w:t xml:space="preserve"> </w:t>
      </w:r>
      <w:r>
        <w:rPr>
          <w:u w:val="single"/>
        </w:rPr>
        <w:t xml:space="preserve">Notwithstanding Section 20.001, any party may record an oral deposition by a method, including videotape recording, other than stenographic recording in accordance with the Texas Rules of Civil Procedure.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154.101(f),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Except as provided by Section 154.112 and by </w:t>
      </w:r>
      <w:r>
        <w:rPr>
          <w:u w:val="single"/>
        </w:rPr>
        <w:t xml:space="preserve">Chapter 20</w:t>
      </w:r>
      <w:r>
        <w:t xml:space="preserve"> [</w:t>
      </w:r>
      <w:r>
        <w:rPr>
          <w:strike/>
        </w:rPr>
        <w:t xml:space="preserve">Section 20.001</w:t>
      </w:r>
      <w:r>
        <w:t xml:space="preserve">], Civil Practice and Remedies Code, all depositions conducted in this state must be recorded by a certified shorthand reporter.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