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real property that includes improvements used for the noncommercial production of food for personal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23.014, Tax Code, is amended to read as follows:</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EXCLUSION OF PROPERTY AS REAL PROPERTY.  Except as provided by Section 23.24(b), in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improvements used for the noncommercial production of food for personal consumption; or</w:t>
      </w:r>
    </w:p>
    <w:p w:rsidR="003F3435" w:rsidRDefault="0032493E">
      <w:pPr>
        <w:spacing w:line="480" w:lineRule="auto"/>
        <w:ind w:firstLine="1440"/>
        <w:jc w:val="both"/>
      </w:pPr>
      <w:r>
        <w:rPr>
          <w:u w:val="single"/>
        </w:rPr>
        <w:t xml:space="preserve">(4)</w:t>
      </w:r>
      <w:r xml:space="preserve">
        <w:t> </w:t>
      </w:r>
      <w:r xml:space="preserve">
        <w:t> </w:t>
      </w:r>
      <w:r>
        <w:t xml:space="preserve">other property that is not subject to appraisal as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