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86R9579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2183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school district and open-enrollment charter school reporting of certain releases of a student to the student's parent after school-initiated communication.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25, Education Code, is amended by adding Section 25.0875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25.0875.</w:t>
      </w:r>
      <w:r>
        <w:rPr>
          <w:u w:val="single"/>
        </w:rPr>
        <w:t xml:space="preserve"> </w:t>
      </w:r>
      <w:r>
        <w:rPr>
          <w:u w:val="single"/>
        </w:rPr>
        <w:t xml:space="preserve"> </w:t>
      </w:r>
      <w:r>
        <w:rPr>
          <w:u w:val="single"/>
        </w:rPr>
        <w:t xml:space="preserve">REPORTING OF RELEASE OF STUDENT TO PARENT AFTER SCHOOL-INITIATED COMMUNICATION.  (a)  In this section, "parent" includes a person standing in parental relation.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that releases a student to the student's parent before the end of the instructional day and after the parent receives a school-initiated communication shall provide to the agency a report about the communication and the student's release not later than the third instructional day after the date the communication and release occur if the district or school releases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 disciplinary management technique;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 reaction to the student's behavior that impedes the student's ability to learn but does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violate the student code of conduct under Section 37.001;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 disciplinary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report required under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race, ethnicity, sex, and socioeconomic status of the student;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whether the student receives special education services under Subchapter A, Chapter 29;</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whether the student is identified as a student of limited English proficiency, as defined by Section 29.052;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of whether the student's release was an excused absence under Section 25.087;</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statement of the approximate amount of the instructional day remaining after the student's release;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date of the school-initiated communication and the release of the student;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reason for the school-initiated communication and the release of the student;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approximate time of the communication;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approximate time of the student's release;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summary of the communication.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shall retain a copy of each report provided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individual reporting requirement under this section, the commissioner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each school district and open-enrollment charter school annually to report through the Public Education Information Management System the information described under Subsections (c)(2) through (10);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reporting required by this section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shall make the following information collected under Subsection (e) available to the public, disaggregated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ethnicity;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socioeconomic status of the student;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student is in a special education program under Subchapter A, Chapter 29;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student is identified as a student of limited English proficiency, as defined by Section 29.052.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agency shall provide the information under Subsection (f) in a manner that does not identify an individual student.  The agency shall also make the information available to the public in a manner showing all intersectional data for the categories described by Subsection (f).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26, Education Code, is amended by adding Section 26.0045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26.0045.</w:t>
      </w:r>
      <w:r>
        <w:rPr>
          <w:u w:val="single"/>
        </w:rPr>
        <w:t xml:space="preserve"> </w:t>
      </w:r>
      <w:r>
        <w:rPr>
          <w:u w:val="single"/>
        </w:rPr>
        <w:t xml:space="preserve"> </w:t>
      </w:r>
      <w:r>
        <w:rPr>
          <w:u w:val="single"/>
        </w:rPr>
        <w:t xml:space="preserve">ACCESS TO REPORT OF RELEASE OF STUDENT.  A parent is entitled to access to a copy of each report provided to the agency under Section 25.0875 with respect to the parent's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