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86R6825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board may allocate housing tax credits to more than one development in a single community, as defined by department rule, in the same calendar year [</w:t>
      </w:r>
      <w:r>
        <w:rPr>
          <w:strike/>
        </w:rPr>
        <w:t xml:space="preserve">only</w:t>
      </w:r>
      <w:r>
        <w:t xml:space="preserve">] if the developments are or will be located more than two linear miles apart </w:t>
      </w:r>
      <w:r>
        <w:rPr>
          <w:u w:val="single"/>
        </w:rPr>
        <w:t xml:space="preserve">or the applicant obtains prior approval of the development from the governing body of the municipality containing the development or, if located outside a municipality, the county containing the development</w:t>
      </w:r>
      <w:r>
        <w:t xml:space="preserve">.  This subsection </w:t>
      </w:r>
      <w:r>
        <w:rPr>
          <w:u w:val="single"/>
        </w:rPr>
        <w:t xml:space="preserve">does not prohibit the department from adopting rules under this chapter for specific geographic areas of this state</w:t>
      </w:r>
      <w:r>
        <w:t xml:space="preserve"> [</w:t>
      </w:r>
      <w:r>
        <w:rPr>
          <w:strike/>
        </w:rPr>
        <w:t xml:space="preserve">applies only to communities contained within counties with populations exceeding one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