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86R11545 MP-D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Hunter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2190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admission of certain students to an open-enrollment charter school in certain counties.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12.117, Education Code, is amended by adding Subsection (d)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subsection applies only to an open-enrollment charter school with an enrollment greater than 200 students that is located in a county with a population of less than 400,000 that contains a municipality with a population of at least 300,000. </w:t>
      </w:r>
      <w:r>
        <w:rPr>
          <w:u w:val="single"/>
        </w:rPr>
        <w:t xml:space="preserve"> </w:t>
      </w:r>
      <w:r>
        <w:rPr>
          <w:u w:val="single"/>
        </w:rPr>
        <w:t xml:space="preserve">Notwithstanding Section 12.111(a)(13), an open-enrollment charter school to which this subsection applies may admit a child of an employee of the school as provided by this section regardless of whether the child resides in the geographic area served by the school.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applies beginning with the 2019-2020 school year.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2190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