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2190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admission of certain students to an open-enrollment charter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12.117, Education Code, is amended by adding Subsection (d)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Section 12.111(a)(13), an open-enrollment charter school may admit a child of an employee of the school as provided by this section regardless of whether the child resides in the geographic area served by the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2019-2020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2019.</w:t>
      </w:r>
    </w:p>
    <w:p>
      <w:r>
        <w:br w:type="page"/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President of the Senate</w:t>
      </w:r>
      <w:r xml:space="preserve">
        <w:tab wTab="150" tlc="none" cTlc="0"/>
      </w: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2190 was passed by the House on April 26, 2019, by the following vote:</w:t>
      </w:r>
      <w:r xml:space="preserve">
        <w:t> </w:t>
      </w:r>
      <w:r xml:space="preserve">
        <w:t> </w:t>
      </w:r>
      <w:r>
        <w:t xml:space="preserve">Yeas 139, Nays 0, 2 present, not voting; and that the House concurred in Senate amendments to H.B. No. 2190 on May 24, 2019, by the following vote:</w:t>
      </w:r>
      <w:r xml:space="preserve">
        <w:t> </w:t>
      </w:r>
      <w:r xml:space="preserve">
        <w:t> </w:t>
      </w:r>
      <w:r>
        <w:t xml:space="preserve">Yeas 129, Nays 11, 2 present, not voting.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ind w:firstLine="720"/>
        <w:jc w:val="both"/>
      </w:pPr>
      <w:r>
        <w:t xml:space="preserve">I certify that H.B. No. 2190 was passed by the Senate, with amendments, on May 22, 2019, by the following vote:</w:t>
      </w:r>
      <w:r xml:space="preserve">
        <w:t> </w:t>
      </w:r>
      <w:r xml:space="preserve">
        <w:t> </w:t>
      </w:r>
      <w:r>
        <w:t xml:space="preserve">Yeas 31, Nays 0.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Secretary of the Senate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APPROVED: 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 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2190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