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86R9998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2194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translation of certain informational materials regarding the essential knowledge and skills of the required public school curriculum.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28.0151.</w:t>
      </w:r>
      <w:r>
        <w:rPr>
          <w:u w:val="single"/>
        </w:rPr>
        <w:t xml:space="preserve"> </w:t>
      </w:r>
      <w:r>
        <w:rPr>
          <w:u w:val="single"/>
        </w:rPr>
        <w:t xml:space="preserve"> </w:t>
      </w:r>
      <w:r>
        <w:rPr>
          <w:u w:val="single"/>
        </w:rPr>
        <w:t xml:space="preserve">TRANSLATION OF INFORMATIONAL MATERIALS ON CURRICULUM REQUIREMENTS.  The agency must make available in English, Spanish, and Vietnamese any materials the agency develops to provide the public with information regarding the essential knowledge and skills of the required curriculum under Section 28.002, regardless of the format in which the materials are provided.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