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active shooter emergency policy for school districts and required active shooter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w:t>
      </w:r>
      <w:r>
        <w:rPr>
          <w:u w:val="single"/>
        </w:rPr>
        <w:t xml:space="preserve"> </w:t>
      </w:r>
      <w:r>
        <w:rPr>
          <w:u w:val="single"/>
        </w:rPr>
        <w:t xml:space="preserve"> </w:t>
      </w:r>
      <w:r>
        <w:rPr>
          <w:u w:val="single"/>
        </w:rPr>
        <w:t xml:space="preserve">A school district shall include in its multihazard emergency operations plan a policy for responding to an active shooter emergency. The school district may use any available community resources in developing the policy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w:t>
      </w:r>
      <w:r>
        <w:rPr>
          <w:u w:val="single"/>
        </w:rPr>
        <w:t xml:space="preserve">(a)  A school district peace officer or school resource officer shall complete an active shooter response training program approved by the Texas Commission on Law Enforcement.</w:t>
      </w:r>
    </w:p>
    <w:p w:rsidR="003F3435" w:rsidRDefault="0032493E">
      <w:pPr>
        <w:spacing w:line="480" w:lineRule="auto"/>
        <w:ind w:firstLine="720"/>
        <w:jc w:val="both"/>
      </w:pPr>
      <w:r>
        <w:rPr>
          <w:u w:val="single"/>
        </w:rPr>
        <w:t xml:space="preserve">(b)</w:t>
      </w:r>
      <w:r xml:space="preserve">
        <w:t> </w:t>
      </w:r>
      <w:r xml:space="preserve">
        <w:t> </w:t>
      </w:r>
      <w:r>
        <w:t xml:space="preserve">A school district with an enrollment of 30,000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approve an active shooter response training program required under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school district peace officer or school resource officer who begins employment with or begins providing law enforcement at a school district on a date occurring before the effective date of this Act shall complete the training required by Section 37.0812, Education Code, as amended by this Act, as soon as practicable after the effective date of this Act but not later than August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2195 was passed by the House on April 25, 2019, by the following vote:</w:t>
      </w:r>
      <w:r xml:space="preserve">
        <w:t> </w:t>
      </w:r>
      <w:r xml:space="preserve">
        <w:t> </w:t>
      </w:r>
      <w:r>
        <w:t xml:space="preserve">Yeas 137, Nays 0, 1 present, not voting; and that the House concurred in Senate amendments to H.B. No. 2195 on May 24, 2019,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2195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