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86R9947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Clardy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a perpetual trust fund for a cemetery by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713.008,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713.008.</w:t>
      </w:r>
      <w:r xml:space="preserve">
        <w:t> </w:t>
      </w:r>
      <w:r xml:space="preserve">
        <w:t> </w:t>
      </w:r>
      <w:r>
        <w:t xml:space="preserve">TERMINATION OF MUNICIPAL TRUST BY CERTAIN MUNICIPALITIES. </w:t>
      </w:r>
      <w:r>
        <w:t xml:space="preserve">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The governing body of a municipality in a county with a population of at least 128,000 but not more than 300,000 may abolish the municipality's perpetual trust fund for a cemetery and use the fund, including both principal and interest, for permanent improvements to the cemetery.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municipality in a county with a population of at least 40,000 but not more than 80,000 and that contains a portion of the Angelina National Forest may abolish the municipality's perpetual trust fund for a cemetery and use the fund, including both principal and interest, for permanent improvements to the cemetery. </w:t>
      </w:r>
      <w:r>
        <w:rPr>
          <w:u w:val="single"/>
        </w:rPr>
        <w:t xml:space="preserve"> </w:t>
      </w:r>
      <w:r>
        <w:rPr>
          <w:u w:val="single"/>
        </w:rPr>
        <w:t xml:space="preserve">Termination of a trust fund under this subsection does not constitute renouncement of a trust or failure to act as its trustee under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