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Clardy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Nichols)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2198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17,</w:t>
      </w:r>
      <w:r xml:space="preserve">
        <w:t> </w:t>
      </w:r>
      <w:r>
        <w:t xml:space="preserve">2019, read first time and referred to Committee on Intergovernmental Relations; May</w:t>
      </w:r>
      <w:r xml:space="preserve">
        <w:t> </w:t>
      </w:r>
      <w:r>
        <w:t xml:space="preserve">6,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6, Nays 0; May</w:t>
      </w:r>
      <w:r xml:space="preserve">
        <w:t> </w:t>
      </w:r>
      <w:r>
        <w:t xml:space="preserve">6,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use of a perpetual trust fund for a cemetery by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713.008,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713.008.</w:t>
      </w:r>
      <w:r xml:space="preserve">
        <w:t> </w:t>
      </w:r>
      <w:r xml:space="preserve">
        <w:t> </w:t>
      </w:r>
      <w:r>
        <w:t xml:space="preserve">TERMINATION OF MUNICIPAL TRUST BY CERTAIN MUNICIPALITIES. </w:t>
      </w:r>
      <w:r>
        <w:t xml:space="preserve"> </w:t>
      </w:r>
      <w:r>
        <w:rPr>
          <w:u w:val="single"/>
        </w:rPr>
        <w:t xml:space="preserve">(a)</w:t>
      </w:r>
      <w:r>
        <w:t xml:space="preserve"> </w:t>
      </w:r>
      <w:r>
        <w:t xml:space="preserve"> </w:t>
      </w:r>
      <w:r>
        <w:t xml:space="preserve">The governing body of a municipality in a county with a population of at least 128,000 but not more than 300,000 may abolish the municipality's perpetual trust fund for a cemetery and use the fund, including both principal and interest, for permanent improvements to the cemetery.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governing body of a municipality in a county with a population of at least 40,000 but not more than 80,000 and that contains a portion of the Angelina National Forest may abolish the municipality's perpetual trust fund for a cemetery and use the fund, including both principal and interest, for permanent improvements to the cemetery. </w:t>
      </w:r>
      <w:r>
        <w:rPr>
          <w:u w:val="single"/>
        </w:rPr>
        <w:t xml:space="preserve"> </w:t>
      </w:r>
      <w:r>
        <w:rPr>
          <w:u w:val="single"/>
        </w:rPr>
        <w:t xml:space="preserve">Termination of a trust fund under this subsection does not constitute renouncement of a trust or failure to act as its trustee under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2198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