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86R9566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5,000 that is located in a county through which the Frio River flows and an interstate highway crosses, and that has a population of at least 15,000;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 with a population of at least 8,500 and that county contains part of the Chaparral Wildlife Management Area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