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86R5902 MEW-F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Hinojosa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2208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an adjustment under the foundation school program of the taxable value of property for school districts required to provide social security coverage for district employees.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E, Chapter 42, Education Code, is amended by adding Section 42.2529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42.2529.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ADJUSTMENT FOR DISTRICT PROVIDING SOCIAL SECURITY COVERAGE.  (a) </w:t>
      </w:r>
      <w:r>
        <w:rPr>
          <w:u w:val="single"/>
        </w:rPr>
        <w:t xml:space="preserve"> </w:t>
      </w:r>
      <w:r>
        <w:rPr>
          <w:u w:val="single"/>
        </w:rPr>
        <w:t xml:space="preserve">For purposes of Chapters 41 and 46 and this chapter, the commissioner shall reduce the taxable value of property of a school district that provided social security coverage, as defined by Section 606.001, Government Code, for district employees before January 1, 2019, by a percentage of value equal to the percentage of the district's required contribution for social security coverage.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action of the commissioner under this section is final and may not be appealed.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2208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