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86R21166 SRS-D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Kaufman, Hinojosa, Darby, Clardy,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Springer,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consideration for public school accountability purposes of certain students receiving residential services in state hospitals.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39, Education Code, is amended by adding Section 39.0552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39.0552.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STUDENTS RECEIVING RESIDENTIAL SERVICES IN STATE HOSPITALS NOT CONSIDERED FOR ACCOUNTABILITY PURPOSES.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provision of this code, in determining the performance of a school district or campus under this chapter, a student receiving residential services in a state hospital is not considered a student of the school district or campus in which the state hospital is physically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