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for public school accountability purposes of certain students who reside in a state hospital and receive educational services provided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39.0552.</w:t>
      </w:r>
      <w:r>
        <w:rPr>
          <w:u w:val="single"/>
        </w:rPr>
        <w:t xml:space="preserve"> </w:t>
      </w:r>
      <w:r>
        <w:rPr>
          <w:u w:val="single"/>
        </w:rPr>
        <w:t xml:space="preserve"> </w:t>
      </w:r>
      <w:r>
        <w:rPr>
          <w:u w:val="single"/>
        </w:rPr>
        <w:t xml:space="preserve">MEMORANDUM OF UNDERSTANDING BETWEEN SCHOOL DISTRICT AND STATE HOSPITAL FOR ACCOUNTABILITY PURPOSES.  A memorandum of understanding between a school district and a state hospital under which the district provides educational services to a student who resides in the state hospital must provide that the school district include the performance of the student on an assessment instrument or other achievement indicator adopted under Section 39.053 or a reporting indicator adopted under Section 39.301 in determining the performance of that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 memorandum of understanding entered into between a school district </w:t>
      </w:r>
      <w:r>
        <w:t xml:space="preserve">and a state hospital before, on, or after the effective date of this Act.   A memorandum of understanding entered into before the effective date of this Act must be amended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2210 was passed by the House on May 8, 2019, by the following vote:</w:t>
      </w:r>
      <w:r xml:space="preserve">
        <w:t> </w:t>
      </w:r>
      <w:r xml:space="preserve">
        <w:t> </w:t>
      </w:r>
      <w:r>
        <w:t xml:space="preserve">Yeas 147, Nays 0, 1 present, not voting; and that the House concurred in Senate amendments to H.B. No. 2210 on May 24, 2019, by the following vote:</w:t>
      </w:r>
      <w:r xml:space="preserve">
        <w:t> </w:t>
      </w:r>
      <w:r xml:space="preserve">
        <w:t> </w:t>
      </w:r>
      <w:r>
        <w:t xml:space="preserve">Yeas 140, Nays 2,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2210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