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86R10926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Kaufman</w:t>
      </w:r>
      <w:r xml:space="preserve">
        <w:tab wTab="150" tlc="none" cTlc="0"/>
      </w:r>
      <w:r>
        <w:t xml:space="preserve">H.B.</w:t>
      </w:r>
      <w:r xml:space="preserve">
        <w:t> </w:t>
      </w:r>
      <w:r>
        <w:t xml:space="preserve">No.</w:t>
      </w:r>
      <w:r xml:space="preserve">
        <w:t> </w:t>
      </w:r>
      <w:r>
        <w:t xml:space="preserve">2210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consideration for public school accountability purposes of certain students receiving residential services in state hospitals.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39, Education Code, is amended by adding Section 39.0552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39.0552.</w:t>
      </w:r>
      <w:r>
        <w:rPr>
          <w:u w:val="single"/>
        </w:rPr>
        <w:t xml:space="preserve"> </w:t>
      </w:r>
      <w:r>
        <w:rPr>
          <w:u w:val="single"/>
        </w:rPr>
        <w:t xml:space="preserve"> </w:t>
      </w:r>
      <w:r>
        <w:rPr>
          <w:u w:val="single"/>
        </w:rPr>
        <w:t xml:space="preserve">CERTAIN STUDENTS RECEIVING RESIDENTIAL SERVICES IN STATE HOSPITALS NOT CONSIDERED FOR ACCOUNTABILITY PURPOSES. </w:t>
      </w:r>
      <w:r>
        <w:rPr>
          <w:u w:val="single"/>
        </w:rPr>
        <w:t xml:space="preserve"> </w:t>
      </w:r>
      <w:r>
        <w:rPr>
          <w:u w:val="single"/>
        </w:rPr>
        <w:t xml:space="preserve">Notwithstanding any other provision of this code, in determining the performance of a school district or campus under this chapter, a student receiving residential services in a state hospital whose parent or person standing in parental relation to the student does not reside in the school district in which the state hospital is physically located is not considered a student of that district or campus.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