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Bell of Kaufman,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2210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Powell)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8,</w:t>
      </w:r>
      <w:r xml:space="preserve">
        <w:t> </w:t>
      </w:r>
      <w:r>
        <w:t xml:space="preserve">2019; May</w:t>
      </w:r>
      <w:r xml:space="preserve">
        <w:t> </w:t>
      </w:r>
      <w:r>
        <w:t xml:space="preserve">10,</w:t>
      </w:r>
      <w:r xml:space="preserve">
        <w:t> </w:t>
      </w:r>
      <w:r>
        <w:t xml:space="preserve">2019, read first time and referred to Committee on Education;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11,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Watson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consideration for public school accountability purposes of certain students receiving residential services in state hospitals.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39, Education Code, is amended by adding Section 39.0552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39.0552.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STUDENTS RECEIVING RESIDENTIAL SERVICES IN STATE HOSPITALS NOT CONSIDERED FOR ACCOUNTABILITY PURPOSES. </w:t>
      </w:r>
      <w:r>
        <w:rPr>
          <w:u w:val="single"/>
        </w:rPr>
        <w:t xml:space="preserve"> </w:t>
      </w:r>
      <w:r>
        <w:rPr>
          <w:u w:val="single"/>
        </w:rPr>
        <w:t xml:space="preserve">Notwithstanding any other provision of this code, in determining the performance of a school district or campus under this chapter, a student receiving residential services in a state hospital is not considered a student of the school district or campus in which the state hospital is physically located.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