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Phelan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registration and regulation of customer choice consultants by the Public Utility Commission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39, Utilities Code, is amended by adding Section 39.3555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39.3555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REGISTRATION OF RESIDENTIAL CUSTOMER CHOICE CONSULTANTS.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In this section, "residential electric customer consulting" means acting for profit on behalf of a residential retail customer to enroll the customer and manage on behalf of the customer the customer service plan with a retail electric provider. The term does not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Assisting a customer to select a retail electric provider without enrolling the customer and managing the customer service plan on behalf of the customer.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Performing the services of an aggregator under Section 39.353.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 person may not provide electric customer consulting services unless the person is registered with the commission as a residential customer choice consultant.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 residential customer choice consultant may not: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Sell or take title to electricity;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Be affiliated with a retail electric provider.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rPr>
          <w:u w:val="single"/>
        </w:rPr>
        <w:t xml:space="preserve">A retail electric provider may not refuse to provide retail electric service to a retail customer because the customer uses a residential consumer choice consultant.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rPr>
          <w:u w:val="single"/>
        </w:rPr>
        <w:t xml:space="preserve">The commission shall approve or deny an application for registration as a residential customer choice consultant not later than the 60th day after the date the commission receives the  application.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rPr>
          <w:u w:val="single"/>
        </w:rPr>
        <w:t xml:space="preserve">The commission shall adopt rules as necessary to implement this section and to ensure the reliability and integrity of residential customer choice consultants, including: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Consumer protection requirements;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Disclosure requirement;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Marketing guidelines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Public Utility Commission shall adopt rules required by Section 39.3555, Utilities Code, as added by this Act, not later than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