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86R11627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2217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consideration by the board of trustees of a school district of parental complaints regarding student or parent participation in an extracurricular activity.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26.011(b),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board of trustees of a school district is not required by Subsection (a) or Section 11.1511(b)(13) to address a complaint that the board receives concerning</w:t>
      </w:r>
      <w:r>
        <w:rPr>
          <w:u w:val="single"/>
        </w:rPr>
        <w:t xml:space="preserve">, relating to, or arising from</w:t>
      </w:r>
      <w:r>
        <w:t xml:space="preserve"> a student's </w:t>
      </w:r>
      <w:r>
        <w:rPr>
          <w:u w:val="single"/>
        </w:rPr>
        <w:t xml:space="preserve">or parent's</w:t>
      </w:r>
      <w:r>
        <w:t xml:space="preserve"> participation in an extracurricular activity that does not involve a violation of a right guaranteed by this chapter. This subsection does not affect a claim brought by a parent under the Individuals with Disabilities Education Act (20 U.S.C. Section 1400 et seq.) or a successor federal statute addressing special education services for a child with a disability.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2217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