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86R14048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awareness of utility payment assistance programs and consumer rights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17, Utilities Code, is amended by adding Section 17.010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w:t>
      </w:r>
      <w:r>
        <w:rPr>
          <w:u w:val="single"/>
        </w:rPr>
        <w:t xml:space="preserve"> </w:t>
      </w:r>
      <w:r>
        <w:rPr>
          <w:u w:val="single"/>
        </w:rPr>
        <w:t xml:space="preserve"> </w:t>
      </w:r>
      <w:r>
        <w:rPr>
          <w:u w:val="single"/>
        </w:rPr>
        <w:t xml:space="preserve">DISASTER BILLING AWARENESS.  (a)  The commission in cooperation with the Texas Division of Emergency Management and the Railroad Commission of Texas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public awareness of bill payment assistance available during a disaster for electric, gas, telecommunications, water, and wastewater services;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public with information about billing practices during a disaster to ensure that consumers of electric, gas, telecommunications, water, and wastewater services have an adequate understanding of their rights.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Customer awareness efforts by the commission must be conducted in English and Spanish and any other language as necessary to further the purposes of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Texas Division of Emergency Management, the Public Utility Commission of Texas, and the Railroad Commission of Texas shall begin the public awareness campaign required by Section 17.010, Utilities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