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86R5937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cost of attendance credits to achieve the equalized wealth level for school districts that provide social security coverage for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41.093(b),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a school district's maintenance and operations tax revenue does not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any amounts paid into a tax increment fund under Chapter 311, Tax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district that provided social security coverage, as defined by Section 606.001, Government Code, for the district's employees before January 1, 2019, an amount of tax revenue equal to the district's cost of paying contributions made on behalf of employees in a class of employees covered under the social security program before that date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