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86R3741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2230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functions of the Texas Juvenile Justice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37.011, Education Code, is amended by adding Subsection (r) to read as follows:</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Texas Juvenile Justice Department shall ensure that a program created subject to the approval of the department under this section prioritizes reading at grade level and preparation for the general education development test.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37, Education Code, is amended by adding Section 37.0121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37.0121.</w:t>
      </w:r>
      <w:r>
        <w:rPr>
          <w:u w:val="single"/>
        </w:rPr>
        <w:t xml:space="preserve"> </w:t>
      </w:r>
      <w:r>
        <w:rPr>
          <w:u w:val="single"/>
        </w:rPr>
        <w:t xml:space="preserve"> </w:t>
      </w:r>
      <w:r>
        <w:rPr>
          <w:u w:val="single"/>
        </w:rPr>
        <w:t xml:space="preserve">JUVENILE JUSTICE ALTERNATIVE EDUCATION PROGRAM ACCOUNTABILITY.  The Texas Juvenile Justice Department shall ensure that a juvenile justice alternative education program is held accountable for student academic and behavioral success and shall submit a performance assessment report to the Legislative Budget Board and the governor on or before May 1 of each even-numbered year. The report shall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assessment of the degree to which each juvenile justice alternative education program enhanced the academic performance and behavioral improvement of attending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detailed discussion on the use of standard measures used to compare program formats and to identify those juvenile justice alternative education programs most successful with attending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 passage rates on the assessment instruments administered under Section 39.023(a) in reading and mathematics for students enrolled in the juvenile justice alternative education program for a period of 90 days or more;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standardized cost reports from each juvenile justice alternative education program and its contracting independent school district to determine differing cost factors and actual costs per each juvenile justice alternative education program by school year;</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average cost per student attendance day for juvenile justice alternative education program students, including an itemization of the costs of providing educational services mandated in Section 37.011;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comprehensive five-year strategic plan for the continuing evaluation of juvenile justice alternative education programs, which must include oversight guidelines to improve: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school district compliance with minimum program and accountability standards;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attendance reporting;</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consistency of collection of costs and program data;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training;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technical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203.012, Human Resources Code, is amended to read as follows:</w:t>
      </w:r>
    </w:p>
    <w:p w:rsidR="003F3435" w:rsidRDefault="0032493E">
      <w:pPr>
        <w:spacing w:line="480" w:lineRule="auto"/>
        <w:ind w:firstLine="720"/>
        <w:jc w:val="both"/>
      </w:pPr>
      <w:r>
        <w:t xml:space="preserve">Sec.</w:t>
      </w:r>
      <w:r xml:space="preserve">
        <w:t> </w:t>
      </w:r>
      <w:r>
        <w:t xml:space="preserve">203.012.</w:t>
      </w:r>
      <w:r xml:space="preserve">
        <w:t> </w:t>
      </w:r>
      <w:r xml:space="preserve">
        <w:t> </w:t>
      </w:r>
      <w:r>
        <w:t xml:space="preserve">ANNUAL FINANCIAL REPORT. </w:t>
      </w:r>
      <w:r>
        <w:t xml:space="preserve"> </w:t>
      </w:r>
      <w:r>
        <w:rPr>
          <w:u w:val="single"/>
        </w:rPr>
        <w:t xml:space="preserve">(a)</w:t>
      </w:r>
      <w:r>
        <w:t xml:space="preserve"> </w:t>
      </w:r>
      <w:r>
        <w:t xml:space="preserve"> </w:t>
      </w:r>
      <w:r>
        <w:t xml:space="preserve">The department shall prepare annually a complete and detailed written report accounting for all funds received and disbursed by the department during the preceding fiscal year. </w:t>
      </w:r>
      <w:r>
        <w:t xml:space="preserve"> </w:t>
      </w:r>
      <w:r>
        <w:t xml:space="preserve">The annual report must meet the reporting requirements applicable to financial reporting provided in the General Appropriations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specific accountability system for tracking funds targeted at making a positive impact on youth and shall implement a tracking and monitoring system so that the use of all funds appropriated can be specifically identified and reported to the Legislative Budget Board in the annual report to be delivered not later than December 1 of each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include detailed monitoring, tracking, utilization, and effectiveness information on all funds appropriated. The report must also include information on the impact of any new initiatives and all programs tracked by the department and specifically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prevention and intervention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residential placements;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enhanced community-based services for serious and chronic offenders, including sex offender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intensive supervision and specialized supervision;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community-based services for misdemeanants no longer eligible for commitment to the department;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commitment diversion initiatives.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report must include information on all training, inspection, monitoring, investigation, and technical assistance activities conducted using appropriated funds.  Required elements include training conferences held, practitioners trained, facilities inspected, and investigations conducted.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accompanied by supporting documentation detailing the sources and methodologies utilized to assess program effectiveness and any other supporting material specified by the Legislative Budget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a certification by the person submitting the report that the information provided is true and correct based upon information and belief together with supporting documentation;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information on each program receiving funds for prevention and intervention, including all outcome measures reported by each program and information on how funds were expended by each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report must provide an assessment of the effectiveness of specialized treatment, emphasizing the rearrest rate of offenders receiving treatment.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the department shall report juvenile probation population data as requested by the Legislative Budget Board on a monthly basis for the most recent month available. The department shall report to the Legislative Budget Board on all populations specified by the Legislative Budget Board, including additions, releases, and end-of-month populations. </w:t>
      </w:r>
      <w:r>
        <w:rPr>
          <w:u w:val="single"/>
        </w:rPr>
        <w:t xml:space="preserve"> </w:t>
      </w:r>
      <w:r>
        <w:rPr>
          <w:u w:val="single"/>
        </w:rPr>
        <w:t xml:space="preserve">The department shall submit end-of-fiscal-year data indicating each reporting county to the Legislative Budget Board not later than two months after the last day of each fiscal year. </w:t>
      </w:r>
      <w:r>
        <w:rPr>
          <w:u w:val="single"/>
        </w:rPr>
        <w:t xml:space="preserve"> </w:t>
      </w:r>
      <w:r>
        <w:rPr>
          <w:u w:val="single"/>
        </w:rPr>
        <w:t xml:space="preserve">The department must use Legislative Budget Board population projections for probation supervision and state correctional populations when developing the department's legislative appropriations requests.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request of the Legislative Budget Board, the department shall report expenditure data by strategy or program or in any other format requested.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203, Human Resources Code, is amended by adding Sections 203.020 and 203.021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203.020.</w:t>
      </w:r>
      <w:r>
        <w:rPr>
          <w:u w:val="single"/>
        </w:rPr>
        <w:t xml:space="preserve"> </w:t>
      </w:r>
      <w:r>
        <w:rPr>
          <w:u w:val="single"/>
        </w:rPr>
        <w:t xml:space="preserve"> </w:t>
      </w:r>
      <w:r>
        <w:rPr>
          <w:u w:val="single"/>
        </w:rPr>
        <w:t xml:space="preserve">DIVERSION PROGRAMS FUNDS; REPORT.  (a) The department shall distribute grant funds for the purpose of providing programs for the diversion of youth from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maintain a mechanism for tracking youth served by the diversion programs to determine the long-term success for diverting youth from state juvenile correctional incarceration and the adult criminal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report on the programs' results shall be included in the report that is required under Section 203.012 to be submitted to the Legislative Budget Board on or before December 1 of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203.021.</w:t>
      </w:r>
      <w:r>
        <w:rPr>
          <w:u w:val="single"/>
        </w:rPr>
        <w:t xml:space="preserve"> </w:t>
      </w:r>
      <w:r>
        <w:rPr>
          <w:u w:val="single"/>
        </w:rPr>
        <w:t xml:space="preserve"> </w:t>
      </w:r>
      <w:r>
        <w:rPr>
          <w:u w:val="single"/>
        </w:rPr>
        <w:t xml:space="preserve">EDUCATIONAL PERFORMANCE REPORT. </w:t>
      </w:r>
      <w:r>
        <w:rPr>
          <w:u w:val="single"/>
        </w:rPr>
        <w:t xml:space="preserve"> </w:t>
      </w:r>
      <w:r>
        <w:rPr>
          <w:u w:val="single"/>
        </w:rPr>
        <w:t xml:space="preserve">The department shall submit a report containing statistical information regarding the performance of students of the department's educational programs on the Test of Adult Basic Education to the Legislative Budget Board and the governor on or before December 1 of each even-numbered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221.005,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provide technical assistance on program design and evaluation for programs operated by juvenile probation departments,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in-depth consultative technical assistance on program design, implementation, and evaluation to local juvenile probation departments;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juvenile probation departments in developing logic models for all programs;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recommended performance measures by program type;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facilitating partnerships with universities, community colleges, or larger probation departments to assist departments with statistical program evaluations where feasible;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following current research on juvenile justice program design, implementation, and evaluation;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disseminating best practices to juvenile probation departments.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242.004, Human Resources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disciplinary and grievance procedures must be substantially equivalent to the Texas Department of Criminal Justice's employee disciplinary and grievance procedures.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department's disciplinary procedures must allow an employee of the department to be represented by a designee of the employee's selection who may participate in the hearing on behalf of an employee charged with any type of disciplinary violation.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department's grievance procedures shall attempt to solve problems through a process that recognizes the employee's right to bring a grievance under the department's procedures.  The grievance procedures must include independent mediation or independent, nonbinding arbitration of a dispute between the employer and the employee if the disciplining authority recommends that the employee be terminated or the employee is terminated.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242, Human Resources Code, is amended by adding Section 242.0585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242.0585.</w:t>
      </w:r>
      <w:r>
        <w:rPr>
          <w:u w:val="single"/>
        </w:rPr>
        <w:t xml:space="preserve"> </w:t>
      </w:r>
      <w:r>
        <w:rPr>
          <w:u w:val="single"/>
        </w:rPr>
        <w:t xml:space="preserve"> </w:t>
      </w:r>
      <w:r>
        <w:rPr>
          <w:u w:val="single"/>
        </w:rPr>
        <w:t xml:space="preserve">FEDERAL FUNDS FOR CERTAIN SERVICES.  (a) The department shall certify to the Department of Family and Protective Services that federal financial participation can be claimed for Title IV-E, Social Security Act (42 U.S.C. Section 670 et seq.), services provided to a child by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direct necessary general revenue funding to ensure that the amount of federal funds received under Title IV-E is maximized for use by participating counties. The department shall use the federal funds received for the purpose of reimbursing counties for services provided to eligible children.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reporting federal funds to the Legislative Budget Board, the department must report funds expended in the fiscal year that the funds are disbursed to counties, regardless of the year in which the claim was made by the county, received by the department, or certified by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244.009, Human Resources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develop an approach to deliver health care and psychiatric services at the best value possible.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