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86R18234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Harris, Longoria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credited in a state fiscal year to the judicial fund to provide basic civil legal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402.007(d),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total amount credited to the judicial fund for programs approved by the supreme court that provide basic civil legal services to the indigent under Subsection (b) may not exceed $50 million per state fiscal </w:t>
      </w:r>
      <w:r>
        <w:rPr>
          <w:u w:val="single"/>
        </w:rPr>
        <w:t xml:space="preserve">year</w:t>
      </w:r>
      <w:r>
        <w:t xml:space="preserve"> [</w:t>
      </w:r>
      <w:r>
        <w:rPr>
          <w:strike/>
        </w:rPr>
        <w:t xml:space="preserve">biennium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