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86R11872 TSS-D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Thompson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2235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amount credited in a state fiscal year to the judicial fund to provide basic civil legal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402.007(d),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(d)</w:t>
      </w:r>
      <w:r xml:space="preserve">
        <w:t> </w:t>
      </w:r>
      <w:r xml:space="preserve">
        <w:t> </w:t>
      </w:r>
      <w:r>
        <w:t xml:space="preserve">The total amount credited to the judicial fund for programs approved by the supreme court that provide basic civil legal services to the indigent under Subsection (b) may not exceed $50 million per state fiscal </w:t>
      </w:r>
      <w:r>
        <w:rPr>
          <w:u w:val="single"/>
        </w:rPr>
        <w:t xml:space="preserve">year</w:t>
      </w:r>
      <w:r>
        <w:t xml:space="preserve"> [</w:t>
      </w:r>
      <w:r>
        <w:rPr>
          <w:strike/>
        </w:rPr>
        <w:t xml:space="preserve">biennium</w:t>
      </w:r>
      <w:r>
        <w:t xml:space="preserve">].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2235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