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86R2885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anatomical gifts.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692A.005(b),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donor or other person authorized to make an anatomical gift under Section 692A.004 may make a gift by a donor card or other record signed by the donor or other person making the gift or by authorizing that a statement or symbol indicating the donor has made an anatomical gift be included on a donor registry. </w:t>
      </w:r>
      <w:r>
        <w:t xml:space="preserve"> </w:t>
      </w:r>
      <w:r>
        <w:t xml:space="preserve">If the donor or other person is physically unable to sign a record, the record may be signed by another individual at the direction of the donor or other person and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692A.006(b),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record signed pursuant to Subsection (a)(1)(C)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692A.007(b),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record signed pursuant to Subsection (a)(1)(B)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individual</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692,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692A.005, 692A.006, and 692A.007, Health and Safety Code, as amended by this Act, apply only to the validity of a document executed on or after the effective date of this Act.  The validity of a document executed before the effective date of this Act is governed by the law in effect on the date the document was executed, and that law continues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otherwise provided in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record described by Section 692A.005, 692A.006, or 692A.007, Health and Safety Code, as amended by this Act,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judicial proceeding concerning a record described by Subdivision (1) of this subsection that:</w:t>
      </w:r>
    </w:p>
    <w:p w:rsidR="003F3435" w:rsidRDefault="0032493E">
      <w:pPr>
        <w:spacing w:line="480" w:lineRule="auto"/>
        <w:ind w:firstLine="2160"/>
        <w:jc w:val="both"/>
      </w:pPr>
      <w:r>
        <w:t xml:space="preserve">(A)</w:t>
      </w:r>
      <w:r xml:space="preserve">
        <w:t> </w:t>
      </w:r>
      <w:r xml:space="preserve">
        <w:t> </w:t>
      </w:r>
      <w:r>
        <w:t xml:space="preserve">commences on or after the effective date of this Act; or</w:t>
      </w:r>
    </w:p>
    <w:p w:rsidR="003F3435" w:rsidRDefault="0032493E">
      <w:pPr>
        <w:spacing w:line="480" w:lineRule="auto"/>
        <w:ind w:firstLine="2160"/>
        <w:jc w:val="both"/>
      </w:pPr>
      <w:r>
        <w:t xml:space="preserve">(B)</w:t>
      </w:r>
      <w:r xml:space="preserve">
        <w:t> </w:t>
      </w:r>
      <w:r xml:space="preserve">
        <w:t> </w:t>
      </w:r>
      <w:r>
        <w:t xml:space="preserve">is pending on the effective date of this Act.</w:t>
      </w:r>
    </w:p>
    <w:p w:rsidR="003F3435" w:rsidRDefault="0032493E">
      <w:pPr>
        <w:spacing w:line="480" w:lineRule="auto"/>
        <w:ind w:firstLine="720"/>
        <w:jc w:val="both"/>
      </w:pPr>
      <w:r>
        <w:t xml:space="preserve">(b)</w:t>
      </w:r>
      <w:r xml:space="preserve">
        <w:t> </w:t>
      </w:r>
      <w:r xml:space="preserve">
        <w:t> </w:t>
      </w:r>
      <w:r>
        <w:t xml:space="preserve">If the court finds that application of a provision of this Act would substantially interfere with the effective conduct of a judicial proceeding concerning a record described by Subsection (a)(1) of this section that is pending on the effective date of this Act or prejudice the rights of a party to the proceeding, the provision of this Act does not apply, and the law in effect immediately before the effective date of this Act applies in those circumstances.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