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86R4289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an appraisal review board to direct changes in the appraisal roll for a prior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25.25(c),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appraisal review board, on motion of the chief appraiser or of a property owner, may direct by written order changes in the appraisal roll for any of the five preceding years to correct: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clerical errors that affect a property owner's liability for a tax imposed in that tax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multiple appraisals of a property in that tax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inclusion of property that does not exist in the form or at the location described in the appraisal roll;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error in which property is shown as owned by a person who did not own the property on January 1 of that tax year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error in the square footage of a property described in the appraisal roll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motion to correct an appraisal roll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