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86R20238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2259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2259: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2259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uncollectible fees and costs in criminal actions and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103.0081(a),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officer authorized by this chapter to collect a fee or item of cost may request the trial court in which a criminal action or proceeding was held to make a finding that a fee or item of cost imposed in the action or proceeding is uncollectible if the officer believes: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defendant is deceased;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defendant is serving a sentence for imprisonment for life or life without parole;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fee has been unpaid for at least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15</w:t>
      </w:r>
      <w:r>
        <w:t xml:space="preserve">]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103.0081(c), Code of Criminal Procedure,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2259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