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86R5257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repeal of certain provisions governing state and local enforcement of immigration laws and other provisions related to immigration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Articles 2.13(d) and (e), Code of Criminal Procedure, as added by Chapter 4 (S.B.</w:t>
      </w:r>
      <w:r xml:space="preserve">
        <w:t> </w:t>
      </w:r>
      <w:r>
        <w:t xml:space="preserve">4), Acts of the 85th Legislature, Regular Session, 2017;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Article 2.251, Code of Criminal Procedure;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Article 17.16(a-1), Code of Criminal Procedure;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Article 42.039, Code of Criminal Procedure;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Section 402.0241,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Subchapter C, Chapter 752,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Section 772.0073, Government Code, as added by Chapter 4 (S.B.</w:t>
      </w:r>
      <w:r xml:space="preserve">
        <w:t> </w:t>
      </w:r>
      <w:r>
        <w:t xml:space="preserve">4), Acts of the 85th Legislature, Regular Session, 2017;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Section 87.031(c), Local Government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Section 39.07,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17.16(a),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surety may before forfeiture relieve the surety of the surety's undertaking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surrendering the accused into the custody of the sheriff of the county where the prosecution is pending;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delivering to the sheriff of the county in which the prosecution is pending and to the office of the prosecuting attorney an affidavit stating that the accused is incarcerated in[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federal custody, </w:t>
      </w:r>
      <w:r>
        <w:rPr>
          <w:u w:val="single"/>
        </w:rPr>
        <w:t xml:space="preserve">in</w:t>
      </w:r>
      <w:r>
        <w:t xml:space="preserve"> </w:t>
      </w:r>
      <w:r>
        <w:t xml:space="preserve">[</w:t>
      </w:r>
      <w:r>
        <w:rPr>
          <w:strike/>
        </w:rPr>
        <w:t xml:space="preserve">subject to Subsection (a-1);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custody of any state</w:t>
      </w:r>
      <w:r>
        <w:rPr>
          <w:u w:val="single"/>
        </w:rPr>
        <w:t xml:space="preserve">,</w:t>
      </w:r>
      <w:r>
        <w:t xml:space="preserve">[</w:t>
      </w:r>
      <w:r>
        <w:rPr>
          <w:strike/>
        </w:rPr>
        <w:t xml:space="preserve">;</w:t>
      </w:r>
      <w:r>
        <w:t xml:space="preserve">] or </w:t>
      </w:r>
      <w:r>
        <w:rPr>
          <w:u w:val="single"/>
        </w:rPr>
        <w:t xml:space="preserve">in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any county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